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Volume IV — Governance &amp; Assurance</w:t>
      </w:r>
    </w:p>
    <w:p>
      <w:pPr>
        <w:pStyle w:val="Subtitle"/>
      </w:pPr>
      <w:r>
        <w:t xml:space="preserve">Federal Compliance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16:20 ET</w:t>
      </w:r>
    </w:p>
    <w:bookmarkEnd w:id="9"/>
    <w:bookmarkStart w:id="10" w:name="volume-purpose"/>
    <w:p>
      <w:pPr>
        <w:pStyle w:val="Heading1"/>
      </w:pPr>
      <w:r>
        <w:t xml:space="preserve">Volume Purpose</w:t>
      </w:r>
    </w:p>
    <w:p>
      <w:pPr>
        <w:pStyle w:val="FirstParagraph"/>
      </w:pPr>
      <w:r>
        <w:rPr>
          <w:b/>
          <w:bCs/>
        </w:rPr>
        <w:t xml:space="preserve">Volume IV turns the technical evidence of Volumes I–III into a federal</w:t>
      </w:r>
      <w:r>
        <w:rPr>
          <w:b/>
          <w:bCs/>
        </w:rPr>
        <w:t xml:space="preserve"> </w:t>
      </w:r>
      <w:r>
        <w:rPr>
          <w:b/>
          <w:bCs/>
        </w:rPr>
        <w:t xml:space="preserve">authorization.</w:t>
      </w:r>
      <w:r>
        <w:t xml:space="preserve"> </w:t>
      </w:r>
      <w:r>
        <w:t xml:space="preserve">The infrastructure volumes produce capabilities and</w:t>
      </w:r>
      <w:r>
        <w:t xml:space="preserve"> </w:t>
      </w:r>
      <w:r>
        <w:t xml:space="preserve">machine-readable evidence; Volume IV supplies the layer that infrastructure alone</w:t>
      </w:r>
      <w:r>
        <w:t xml:space="preserve"> </w:t>
      </w:r>
      <w:r>
        <w:t xml:space="preserve">cannot — the</w:t>
      </w:r>
      <w:r>
        <w:t xml:space="preserve"> </w:t>
      </w:r>
      <w:r>
        <w:rPr>
          <w:b/>
          <w:bCs/>
        </w:rPr>
        <w:t xml:space="preserve">documents, signatures, processes, and the OSCAL package</w:t>
      </w:r>
      <w:r>
        <w:t xml:space="preserve"> </w:t>
      </w:r>
      <w:r>
        <w:t xml:space="preserve">that an</w:t>
      </w:r>
      <w:r>
        <w:t xml:space="preserve"> </w:t>
      </w:r>
      <w:r>
        <w:t xml:space="preserve">authorizing official and an assessor actually consume. The volume’s books carry</w:t>
      </w:r>
      <w:r>
        <w:t xml:space="preserve"> </w:t>
      </w:r>
      <w:r>
        <w:t xml:space="preserve">the closures for the control families that are satisfied by artifacts rather than</w:t>
      </w:r>
      <w:r>
        <w:t xml:space="preserve"> </w:t>
      </w:r>
      <w:r>
        <w:t xml:space="preserve">configuration — contingency planning (CP), supply-chain risk (SR), program</w:t>
      </w:r>
      <w:r>
        <w:t xml:space="preserve"> </w:t>
      </w:r>
      <w:r>
        <w:t xml:space="preserve">management (PM), privacy/PII processing (PT), awareness and training (AT), and</w:t>
      </w:r>
      <w:r>
        <w:t xml:space="preserve"> </w:t>
      </w:r>
      <w:r>
        <w:t xml:space="preserve">assessment/authorization/continuous monitoring (CA) — registered per book in the</w:t>
      </w:r>
      <w:r>
        <w:t xml:space="preserve"> </w:t>
      </w:r>
      <w:r>
        <w:t xml:space="preserve">compliance spine as each book is finalized.</w:t>
      </w:r>
    </w:p>
    <w:p>
      <w:pPr>
        <w:pStyle w:val="BodyText"/>
      </w:pPr>
      <w:r>
        <w:t xml:space="preserve">The volume’s recurring lesson is the series’ sharpest governance point:</w:t>
      </w:r>
      <w:r>
        <w:t xml:space="preserve"> </w:t>
      </w:r>
      <w:r>
        <w:rPr>
          <w:i/>
          <w:iCs/>
        </w:rPr>
        <w:t xml:space="preserve">a</w:t>
      </w:r>
      <w:r>
        <w:rPr>
          <w:i/>
          <w:iCs/>
        </w:rPr>
        <w:t xml:space="preserve"> </w:t>
      </w:r>
      <w:r>
        <w:rPr>
          <w:i/>
          <w:iCs/>
        </w:rPr>
        <w:t xml:space="preserve">perfectly configured control that cannot produce a signed, tested, machine-</w:t>
      </w:r>
      <w:r>
        <w:rPr>
          <w:i/>
          <w:iCs/>
        </w:rPr>
        <w:t xml:space="preserve"> </w:t>
      </w:r>
      <w:r>
        <w:rPr>
          <w:i/>
          <w:iCs/>
        </w:rPr>
        <w:t xml:space="preserve">readable artifact is, from the assessor’s chair, an open finding.</w:t>
      </w:r>
      <w:r>
        <w:t xml:space="preserve"> </w:t>
      </w:r>
      <w:r>
        <w:t xml:space="preserve">Volume IV</w:t>
      </w:r>
      <w:r>
        <w:t xml:space="preserve"> </w:t>
      </w:r>
      <w:r>
        <w:t xml:space="preserve">manufactures the artifacts.</w:t>
      </w:r>
    </w:p>
    <w:bookmarkEnd w:id="10"/>
    <w:bookmarkStart w:id="11" w:name="books-in-this-volume"/>
    <w:p>
      <w:pPr>
        <w:pStyle w:val="Heading1"/>
      </w:pPr>
      <w:r>
        <w:t xml:space="preserve">Books in This Volume</w:t>
      </w:r>
    </w:p>
    <w:p>
      <w:pPr>
        <w:pStyle w:val="TableCaption"/>
      </w:pPr>
      <w:r>
        <w:t xml:space="preserve">Volume IV — Governance &amp; Assurance</w:t>
      </w:r>
    </w:p>
    <w:tbl>
      <w:tblPr>
        <w:tblStyle w:val="Table"/>
        <w:tblW w:type="pct" w:w="5000"/>
        <w:tblLayout w:type="fixed"/>
        <w:tblLook w:firstRow="1" w:lastRow="0" w:firstColumn="0" w:lastColumn="0" w:noHBand="0" w:noVBand="0" w:val="0020"/>
        <w:tblCaption w:val="Volume IV — Governance &amp; Assurance"/>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IV Book 01</w:t>
            </w:r>
          </w:p>
        </w:tc>
        <w:tc>
          <w:tcPr/>
          <w:p>
            <w:pPr>
              <w:pStyle w:val="Compact"/>
            </w:pPr>
            <w:r>
              <w:t xml:space="preserve">Business Continuity</w:t>
            </w:r>
          </w:p>
        </w:tc>
        <w:tc>
          <w:tcPr/>
          <w:p>
            <w:pPr>
              <w:pStyle w:val="Compact"/>
            </w:pPr>
            <w:r>
              <w:t xml:space="preserve">CP-2 contingency plan, BIA, DR validation — the plan the runbooks assume</w:t>
            </w:r>
          </w:p>
        </w:tc>
      </w:tr>
      <w:tr>
        <w:tc>
          <w:tcPr/>
          <w:p>
            <w:pPr>
              <w:pStyle w:val="Compact"/>
            </w:pPr>
            <w:r>
              <w:rPr>
                <w:b/>
                <w:bCs/>
              </w:rPr>
              <w:t xml:space="preserve">Vol IV Book 02</w:t>
            </w:r>
          </w:p>
        </w:tc>
        <w:tc>
          <w:tcPr/>
          <w:p>
            <w:pPr>
              <w:pStyle w:val="Compact"/>
            </w:pPr>
            <w:r>
              <w:t xml:space="preserve">Supply Chain Risk Management</w:t>
            </w:r>
          </w:p>
        </w:tc>
        <w:tc>
          <w:tcPr/>
          <w:p>
            <w:pPr>
              <w:pStyle w:val="Compact"/>
            </w:pPr>
            <w:r>
              <w:t xml:space="preserve">SBOM / VDR / VEX pipeline under BOD 26-04; SR-family closure</w:t>
            </w:r>
          </w:p>
        </w:tc>
      </w:tr>
      <w:tr>
        <w:tc>
          <w:tcPr/>
          <w:p>
            <w:pPr>
              <w:pStyle w:val="Compact"/>
            </w:pPr>
            <w:r>
              <w:rPr>
                <w:b/>
                <w:bCs/>
              </w:rPr>
              <w:t xml:space="preserve">Vol IV Book 03</w:t>
            </w:r>
          </w:p>
        </w:tc>
        <w:tc>
          <w:tcPr/>
          <w:p>
            <w:pPr>
              <w:pStyle w:val="Compact"/>
            </w:pPr>
            <w:r>
              <w:t xml:space="preserve">Program Management &amp; Governance</w:t>
            </w:r>
          </w:p>
        </w:tc>
        <w:tc>
          <w:tcPr/>
          <w:p>
            <w:pPr>
              <w:pStyle w:val="Compact"/>
            </w:pPr>
            <w:r>
              <w:t xml:space="preserve">ISPP, POA&amp;M, SCRM charter, RACI — the PM-family governance artifacts</w:t>
            </w:r>
          </w:p>
        </w:tc>
      </w:tr>
      <w:tr>
        <w:tc>
          <w:tcPr/>
          <w:p>
            <w:pPr>
              <w:pStyle w:val="Compact"/>
            </w:pPr>
            <w:r>
              <w:rPr>
                <w:b/>
                <w:bCs/>
              </w:rPr>
              <w:t xml:space="preserve">Vol IV Book 04</w:t>
            </w:r>
          </w:p>
        </w:tc>
        <w:tc>
          <w:tcPr/>
          <w:p>
            <w:pPr>
              <w:pStyle w:val="Compact"/>
            </w:pPr>
            <w:r>
              <w:t xml:space="preserve">PII Processing &amp; Transparency</w:t>
            </w:r>
          </w:p>
        </w:tc>
        <w:tc>
          <w:tcPr/>
          <w:p>
            <w:pPr>
              <w:pStyle w:val="Compact"/>
            </w:pPr>
            <w:r>
              <w:t xml:space="preserve">Privacy program, authority-to-process, SORN/PIA — the PT family</w:t>
            </w:r>
          </w:p>
        </w:tc>
      </w:tr>
      <w:tr>
        <w:tc>
          <w:tcPr/>
          <w:p>
            <w:pPr>
              <w:pStyle w:val="Compact"/>
            </w:pPr>
            <w:r>
              <w:rPr>
                <w:b/>
                <w:bCs/>
              </w:rPr>
              <w:t xml:space="preserve">Vol IV Book 05</w:t>
            </w:r>
          </w:p>
        </w:tc>
        <w:tc>
          <w:tcPr/>
          <w:p>
            <w:pPr>
              <w:pStyle w:val="Compact"/>
            </w:pPr>
            <w:r>
              <w:t xml:space="preserve">Cybersecurity Training &amp; Awareness</w:t>
            </w:r>
          </w:p>
        </w:tc>
        <w:tc>
          <w:tcPr/>
          <w:p>
            <w:pPr>
              <w:pStyle w:val="Compact"/>
            </w:pPr>
            <w:r>
              <w:t xml:space="preserve">Role-based curriculum + machine-readable training-effectiveness evidence (AT)</w:t>
            </w:r>
          </w:p>
        </w:tc>
      </w:tr>
      <w:tr>
        <w:tc>
          <w:tcPr/>
          <w:p>
            <w:pPr>
              <w:pStyle w:val="Compact"/>
            </w:pPr>
            <w:r>
              <w:rPr>
                <w:b/>
                <w:bCs/>
              </w:rPr>
              <w:t xml:space="preserve">Vol IV Book 06</w:t>
            </w:r>
          </w:p>
        </w:tc>
        <w:tc>
          <w:tcPr/>
          <w:p>
            <w:pPr>
              <w:pStyle w:val="Compact"/>
            </w:pPr>
            <w:r>
              <w:t xml:space="preserve">Authorization Package &amp; ConMon</w:t>
            </w:r>
          </w:p>
        </w:tc>
        <w:tc>
          <w:tcPr/>
          <w:p>
            <w:pPr>
              <w:pStyle w:val="Compact"/>
            </w:pPr>
            <w:r>
              <w:t xml:space="preserve">The OSCAL AP/AR/POA&amp;M bundle and the continuous-monitoring program (CA)</w:t>
            </w:r>
          </w:p>
        </w:tc>
      </w:tr>
    </w:tbl>
    <w:bookmarkEnd w:id="11"/>
    <w:bookmarkStart w:id="12" w:name="how-this-volume-fits-the-program"/>
    <w:p>
      <w:pPr>
        <w:pStyle w:val="Heading1"/>
      </w:pPr>
      <w:r>
        <w:t xml:space="preserve">How This Volume Fits the Program</w:t>
      </w:r>
    </w:p>
    <w:p>
      <w:pPr>
        <w:pStyle w:val="FirstParagraph"/>
      </w:pPr>
      <w:r>
        <w:t xml:space="preserve">Volume IV is the</w:t>
      </w:r>
      <w:r>
        <w:t xml:space="preserve"> </w:t>
      </w:r>
      <w:r>
        <w:rPr>
          <w:b/>
          <w:bCs/>
        </w:rPr>
        <w:t xml:space="preserve">capstone</w:t>
      </w:r>
      <w:r>
        <w:t xml:space="preserve">. It consumes the correlated evidence stream from</w:t>
      </w:r>
      <w:r>
        <w:t xml:space="preserve"> </w:t>
      </w:r>
      <w:r>
        <w:t xml:space="preserve">the Multi-Cloud Evidence Fabric (Vol III Book 07) and the continuity, supply-</w:t>
      </w:r>
      <w:r>
        <w:t xml:space="preserve"> </w:t>
      </w:r>
      <w:r>
        <w:t xml:space="preserve">chain, and training evidence its own books generate, and assembles them into the</w:t>
      </w:r>
      <w:r>
        <w:t xml:space="preserve"> </w:t>
      </w:r>
      <w:r>
        <w:t xml:space="preserve">authorization package (Vol IV Book 06) that carries the whole program to an</w:t>
      </w:r>
      <w:r>
        <w:t xml:space="preserve"> </w:t>
      </w:r>
      <w:r>
        <w:t xml:space="preserve">authorization decision. Where Volumes I–III demonstrate that the controls are</w:t>
      </w:r>
      <w:r>
        <w:t xml:space="preserve"> </w:t>
      </w:r>
      <w:r>
        <w:rPr>
          <w:i/>
          <w:iCs/>
        </w:rPr>
        <w:t xml:space="preserve">closed</w:t>
      </w:r>
      <w:r>
        <w:t xml:space="preserve">, Volume IV demonstrates it in the idiom — OSCAL, KSI, POA&amp;M — that</w:t>
      </w:r>
      <w:r>
        <w:t xml:space="preserve"> </w:t>
      </w:r>
      <w:r>
        <w:t xml:space="preserve">FedRAMP 20x and the agency’s authorizing official require.</w:t>
      </w:r>
    </w:p>
    <w:bookmarkEnd w:id="12"/>
    <w:bookmarkStart w:id="13" w:name="X8370e8c548a65b81ec17d9ad6cc210ed489b073"/>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End w:id="13"/>
    <w:bookmarkStart w:id="59" w:name="vol-iv-book-01-federal-compliance"/>
    <w:p>
      <w:pPr>
        <w:pStyle w:val="Heading1"/>
      </w:pPr>
      <w:r>
        <w:t xml:space="preserve">Vol IV Book 01 — Federal Compliance</w:t>
      </w:r>
    </w:p>
    <w:bookmarkStart w:id="14" w:name="draft-proposal-subject-to-review-1"/>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14"/>
    <w:bookmarkStart w:id="15" w:name="what-this-document-addresses"/>
    <w:p>
      <w:pPr>
        <w:pStyle w:val="Heading2"/>
      </w:pPr>
      <w:r>
        <w:t xml:space="preserve">What This Document Addresses</w:t>
      </w:r>
    </w:p>
    <w:p>
      <w:pPr>
        <w:pStyle w:val="FirstParagraph"/>
      </w:pPr>
      <w:r>
        <w:t xml:space="preserve">The Volume I network-and-identity books, the Volume II database books, and the early Volume III security books built the infrastructure substrate for a resilient federal network: DNS with Grid replication (Vol I Book 01, Cloud Landing Zone, IPAM/DDI), SD-WAN with dual underlay circuits and automatic path failover (Vol I Book 06, Federal Telecommunications Modernization), identity with break-glass access procedures (Vol I Book 03, Certificates &amp; Tokens and Vol III Book 01, Privileged Access Management), SQL Server Always On Availability Groups with geo-replicated disaster recovery replicas (Vol II Book 02, SQL Server Implementation Guide and Vol II Book 03, Database Consolidation &amp; Network Physics), and a centralized logging and alerting fabric (Vol III Book 06, SIEM / XDR Detection). Each of those books produced runbooks, configuration templates, and tested recovery procedures. A FedRAMP assessor reviewing all of them would find a technically impressive architecture. They would also find that the agency cannot demonstrate compliance with CP-2.</w:t>
      </w:r>
    </w:p>
    <w:p>
      <w:pPr>
        <w:pStyle w:val="BodyText"/>
      </w:pPr>
      <w:r>
        <w:t xml:space="preserve">The reason is structural. CP-2 is not satisfied by capable infrastructure. CP-2 is satisfied by a document: a Contingency Plan that has been approved by a designated official, distributed to all recovery personnel, tested on a defined cycle, and updated when the system changes or after every test. The runbook in Vol II Book 02 that walks a DBA through failing over an Availability Group is a recovery procedure. It is not a Contingency Plan. The SD-WAN configuration in Vol I Book 06 that automatically steers traffic onto the backup DIA circuit when MPLS degrades is a resilience capability — one that lives in the overlay’s probe-driven path selection, not in the circuit. It is not a Contingency Plan either. An assessor who opens the Plan of Action and Milestones and sees CP-2 open can turn off the screens showing a perfectly functioning DR failover and write a High finding, because the artifact does not exist.</w:t>
      </w:r>
    </w:p>
    <w:p>
      <w:pPr>
        <w:pStyle w:val="BodyText"/>
      </w:pPr>
      <w:r>
        <w:t xml:space="preserve">This document closes that gap. It assembles the infrastructure components from the Volume I, II, and III books into a formal CP-2 Contingency Plan structure aligned to NIST SP 800-34 Rev 1, adds the organizational and testing layers that infrastructure alone cannot provide, and provides the template and evidence framework to close CP-2 through CP-10 (CP-1 policy and procedures is an agency-level artifact out of scope for this system document). Agencies can use this document as a direct template: the section outlines are populated with enough specificity to guide authors, the Business Impact Analysis methodology produces the RTO/RPO values that anchor the plan, and the testing framework produces the artifacts an assessor expects to see.</w:t>
      </w:r>
    </w:p>
    <w:bookmarkEnd w:id="15"/>
    <w:bookmarkStart w:id="18" w:name="technology-without-a-plan-fails-cp-2"/>
    <w:p>
      <w:pPr>
        <w:pStyle w:val="Heading2"/>
      </w:pPr>
      <w:r>
        <w:t xml:space="preserve">Technology Without a Plan Fails CP-2</w:t>
      </w:r>
    </w:p>
    <w:bookmarkStart w:id="16" w:name="what-assessors-actually-check"/>
    <w:p>
      <w:pPr>
        <w:pStyle w:val="Heading3"/>
      </w:pPr>
      <w:r>
        <w:t xml:space="preserve">What Assessors Actually Check</w:t>
      </w:r>
    </w:p>
    <w:p>
      <w:pPr>
        <w:pStyle w:val="FirstParagraph"/>
      </w:pPr>
      <w:r>
        <w:t xml:space="preserve">A FedRAMP assessor arriving to evaluate the CP control family will request three categories of artifacts: the Contingency Plan document itself, evidence that the plan has been tested, and evidence that personnel have been trained. The infrastructure review is secondary — assessors use it to verify that the capabilities the plan claims are real, not fictional. If the plan claims a two-hour RTO for the primary database and the technical review reveals that the DR replica is in the same availability zone as the primary, the plan has an inconsistency finding. But if no plan exists, no amount of correctly configured infrastructure resolves the finding.</w:t>
      </w:r>
    </w:p>
    <w:p>
      <w:pPr>
        <w:pStyle w:val="BodyText"/>
      </w:pPr>
      <w:r>
        <w:t xml:space="preserve">NIST SP 800-34 Rev 1 defines the Contingency Plan as an organizational policy document with a specific structure. It must identify the system, state its criticality, define roles and responsibilities, establish activation thresholds, document recovery procedures for each component, describe reconstitution back to the primary site, and specify how the plan is maintained. Each of these is a prose or tabular artifact that requires human authorship, organizational review, and signature. A Terraform plan that deploys a geo-redundant SQL replica is a capability. The sentence</w:t>
      </w:r>
      <w:r>
        <w:t xml:space="preserve"> </w:t>
      </w:r>
      <w:r>
        <w:t xml:space="preserve">“Database recovery will be performed by the Database Recovery Lead using the procedure in Appendix B, targeting completion within two hours of plan activation”</w:t>
      </w:r>
      <w:r>
        <w:t xml:space="preserve"> </w:t>
      </w:r>
      <w:r>
        <w:t xml:space="preserve">is the plan artifact that CP-2 requires.</w:t>
      </w:r>
    </w:p>
    <w:p>
      <w:pPr>
        <w:pStyle w:val="BodyText"/>
      </w:pPr>
      <w:r>
        <w:t xml:space="preserve">The distinction matters operationally as well. During an actual contingency, recovery teams under pressure need explicit authority to act, clear role assignments, and step-by-step procedures they can follow without consulting architectural diagrams. A well-structured CP-2 document provides that authority. A collection of technical runbooks stored in a wiki does not, because it lacks the activation criteria, the notification chain, and the reconstitution procedures that transform individual recovery steps into a coordinated organizational response.</w:t>
      </w:r>
    </w:p>
    <w:bookmarkEnd w:id="16"/>
    <w:bookmarkStart w:id="17" w:name="what-a-dr-runbook-is-and-is-not"/>
    <w:p>
      <w:pPr>
        <w:pStyle w:val="Heading3"/>
      </w:pPr>
      <w:r>
        <w:t xml:space="preserve">What a DR Runbook Is and Is Not</w:t>
      </w:r>
    </w:p>
    <w:p>
      <w:pPr>
        <w:pStyle w:val="FirstParagraph"/>
      </w:pPr>
      <w:r>
        <w:t xml:space="preserve">The DR runbooks in Vol II Book 02 and Vol II Book 03 are Section 5 content for the Contingency Plan. They are not the Contingency Plan itself. The difference is visible in what each artifact contains.</w:t>
      </w:r>
    </w:p>
    <w:p>
      <w:pPr>
        <w:pStyle w:val="BodyText"/>
      </w:pPr>
      <w:r>
        <w:t xml:space="preserve">A DR runbook answers: given that a decision to fail over has already been made, here are the technical steps to execute it, in order, with expected outputs at each step. It assumes someone has already declared an outage, notified affected parties, assembled the recovery team, and authorized the failover. It picks up at the moment a DBA sits down at a console.</w:t>
      </w:r>
    </w:p>
    <w:p>
      <w:pPr>
        <w:pStyle w:val="BodyText"/>
      </w:pPr>
      <w:r>
        <w:t xml:space="preserve">A CP-2 Contingency Plan answers: how does the organization know when to activate the plan, who has the authority to activate it, who gets notified and in what order, which systems are recovered first, what does the team do between activating the plan and completing recovery, and how do they know when recovery is complete and operations can return to normal. It covers the decisions and coordination that precede and follow the technical recovery steps.</w:t>
      </w:r>
    </w:p>
    <w:p>
      <w:pPr>
        <w:pStyle w:val="BodyText"/>
      </w:pPr>
      <w:r>
        <w:t xml:space="preserve">An agency that has only runbooks has the middle of the response documented. The CP-2 document provides the beginning (activation, notification, role assembly) and the end (validation, reconstitution, deactivation) that the runbooks assume but do not contain.</w:t>
      </w:r>
    </w:p>
    <w:bookmarkEnd w:id="17"/>
    <w:bookmarkEnd w:id="18"/>
    <w:bookmarkStart w:id="21" w:name="business-impact-analysis-methodology"/>
    <w:p>
      <w:pPr>
        <w:pStyle w:val="Heading2"/>
      </w:pPr>
      <w:r>
        <w:t xml:space="preserve">Business Impact Analysis Methodology</w:t>
      </w:r>
    </w:p>
    <w:bookmarkStart w:id="19" w:name="purpose-and-scope"/>
    <w:p>
      <w:pPr>
        <w:pStyle w:val="Heading3"/>
      </w:pPr>
      <w:r>
        <w:t xml:space="preserve">Purpose and Scope</w:t>
      </w:r>
    </w:p>
    <w:p>
      <w:pPr>
        <w:pStyle w:val="FirstParagraph"/>
      </w:pPr>
      <w:r>
        <w:t xml:space="preserve">The Business Impact Analysis (BIA) is the prerequisite to the Contingency Plan. It cannot be delegated entirely to the technical team, because the critical inputs — tolerable downtime thresholds, acceptable data loss windows, and recovery priority ordering — are business decisions, not technical ones. A DBA can tell you how long a database failover takes. Only the mission owner can tell you how long the organization can function without it.</w:t>
      </w:r>
    </w:p>
    <w:p>
      <w:pPr>
        <w:pStyle w:val="BodyText"/>
      </w:pPr>
      <w:r>
        <w:t xml:space="preserve">The BIA produces four values for each mission-critical system:</w:t>
      </w:r>
    </w:p>
    <w:p>
      <w:pPr>
        <w:pStyle w:val="Compact"/>
        <w:numPr>
          <w:ilvl w:val="0"/>
          <w:numId w:val="1001"/>
        </w:numPr>
      </w:pPr>
      <w:r>
        <w:rPr>
          <w:b/>
          <w:bCs/>
        </w:rPr>
        <w:t xml:space="preserve">Maximum Tolerable Downtime (MTD)</w:t>
      </w:r>
      <w:r>
        <w:t xml:space="preserve">: the longest period the organization can sustain an outage before mission impact becomes unacceptable. This is the ceiling. If the system is not recovered before the MTD expires, the agency faces regulatory, mission, or public consequences that cannot be remediated by recovery alone.</w:t>
      </w:r>
    </w:p>
    <w:p>
      <w:pPr>
        <w:pStyle w:val="Compact"/>
        <w:numPr>
          <w:ilvl w:val="0"/>
          <w:numId w:val="1001"/>
        </w:numPr>
      </w:pPr>
      <w:r>
        <w:rPr>
          <w:b/>
          <w:bCs/>
        </w:rPr>
        <w:t xml:space="preserve">Recovery Time Objective (RTO)</w:t>
      </w:r>
      <w:r>
        <w:t xml:space="preserve">: the targeted elapsed time from incident declaration to full system restoration. The RTO must be less than the MTD; the gap between them is a buffer for complications.</w:t>
      </w:r>
    </w:p>
    <w:p>
      <w:pPr>
        <w:pStyle w:val="Compact"/>
        <w:numPr>
          <w:ilvl w:val="0"/>
          <w:numId w:val="1001"/>
        </w:numPr>
      </w:pPr>
      <w:r>
        <w:rPr>
          <w:b/>
          <w:bCs/>
        </w:rPr>
        <w:t xml:space="preserve">Recovery Point Objective (RPO)</w:t>
      </w:r>
      <w:r>
        <w:t xml:space="preserve">: the maximum tolerable data loss, expressed as time. An RPO of 15 minutes means the agency accepts losing up to 15 minutes of transactions during a recovery event.</w:t>
      </w:r>
    </w:p>
    <w:p>
      <w:pPr>
        <w:pStyle w:val="Compact"/>
        <w:numPr>
          <w:ilvl w:val="0"/>
          <w:numId w:val="1001"/>
        </w:numPr>
      </w:pPr>
      <w:r>
        <w:rPr>
          <w:b/>
          <w:bCs/>
        </w:rPr>
        <w:t xml:space="preserve">Work Recovery Time (WRT)</w:t>
      </w:r>
      <w:r>
        <w:t xml:space="preserve">: the time required after technical restoration to validate data integrity, reconcile transactions, clear backlogs, and return to normal operations. RTO + WRT must be less than MTD.</w:t>
      </w:r>
    </w:p>
    <w:bookmarkEnd w:id="19"/>
    <w:bookmarkStart w:id="20" w:name="conducting-the-bia"/>
    <w:p>
      <w:pPr>
        <w:pStyle w:val="Heading3"/>
      </w:pPr>
      <w:r>
        <w:t xml:space="preserve">Conducting the BIA</w:t>
      </w:r>
    </w:p>
    <w:p>
      <w:pPr>
        <w:pStyle w:val="FirstParagraph"/>
      </w:pPr>
      <w:r>
        <w:rPr>
          <w:b/>
          <w:bCs/>
        </w:rPr>
        <w:t xml:space="preserve">Step 1: System inventory and scoping.</w:t>
      </w:r>
      <w:r>
        <w:t xml:space="preserve"> </w:t>
      </w:r>
      <w:r>
        <w:t xml:space="preserve">Begin with the asset inventory. The SQL estate inventory from Vol II Book 02 provides the structured data layer; the DDI dependency map from Vol I Book 01 provides the network dependency topology. Every system that appears in either inventory is a BIA candidate. Systems that are not in the inventory are not in scope for the contingency plan, which is an additional reason to maintain accurate asset inventories.</w:t>
      </w:r>
    </w:p>
    <w:p>
      <w:pPr>
        <w:pStyle w:val="BodyText"/>
      </w:pPr>
      <w:r>
        <w:rPr>
          <w:b/>
          <w:bCs/>
        </w:rPr>
        <w:t xml:space="preserve">Step 2: Stakeholder interviews.</w:t>
      </w:r>
      <w:r>
        <w:t xml:space="preserve"> </w:t>
      </w:r>
      <w:r>
        <w:t xml:space="preserve">For each candidate system, interview the mission owner (the senior official responsible for the business function the system supports), the system owner (the technical lead), and one or more power users who perform high-volume transactions. The mission owner determines the MTD. The system owner determines the RTO and whether it is technically achievable. The power users identify WRT requirements by describing the manual reconciliation or catchup procedures they perform after a system disruption.</w:t>
      </w:r>
    </w:p>
    <w:p>
      <w:pPr>
        <w:pStyle w:val="BodyText"/>
      </w:pPr>
      <w:r>
        <w:t xml:space="preserve">Interview questions for mission owners:</w:t>
      </w:r>
    </w:p>
    <w:p>
      <w:pPr>
        <w:pStyle w:val="Compact"/>
        <w:numPr>
          <w:ilvl w:val="0"/>
          <w:numId w:val="1002"/>
        </w:numPr>
      </w:pPr>
      <w:r>
        <w:t xml:space="preserve">If this system were unavailable starting right now, at what point would you be required to escalate to your director?</w:t>
      </w:r>
    </w:p>
    <w:p>
      <w:pPr>
        <w:pStyle w:val="Compact"/>
        <w:numPr>
          <w:ilvl w:val="0"/>
          <w:numId w:val="1002"/>
        </w:numPr>
      </w:pPr>
      <w:r>
        <w:t xml:space="preserve">At what point would the unavailability affect your agency’s external commitments or statutory obligations?</w:t>
      </w:r>
    </w:p>
    <w:p>
      <w:pPr>
        <w:pStyle w:val="Compact"/>
        <w:numPr>
          <w:ilvl w:val="0"/>
          <w:numId w:val="1002"/>
        </w:numPr>
      </w:pPr>
      <w:r>
        <w:t xml:space="preserve">Are there specific time windows — end-of-day processing, scheduled batch jobs, federal reporting deadlines — during which an outage would be more severe?</w:t>
      </w:r>
    </w:p>
    <w:p>
      <w:pPr>
        <w:pStyle w:val="Compact"/>
        <w:numPr>
          <w:ilvl w:val="0"/>
          <w:numId w:val="1002"/>
        </w:numPr>
      </w:pPr>
      <w:r>
        <w:t xml:space="preserve">What manual workaround procedures exist, and how long can staff sustain them?</w:t>
      </w:r>
    </w:p>
    <w:p>
      <w:pPr>
        <w:pStyle w:val="FirstParagraph"/>
      </w:pPr>
      <w:r>
        <w:rPr>
          <w:b/>
          <w:bCs/>
        </w:rPr>
        <w:t xml:space="preserve">Step 3: Transaction rate analysis.</w:t>
      </w:r>
      <w:r>
        <w:t xml:space="preserve"> </w:t>
      </w:r>
      <w:r>
        <w:t xml:space="preserve">Pull peak transaction rates from monitoring (the Sentinel dashboards from Vol III Book 06 are the source for this). For a federal contact center such as an emergency services coordination system: record the peak call volume by hour for the past 90 days, identify the top five business days by call volume, and calculate the volume of call records that accumulate during a 15-minute window at peak load. That number is the RPO’s concrete meaning: it is the number of call records the agency accepts losing if a failure occurs at peak time.</w:t>
      </w:r>
    </w:p>
    <w:p>
      <w:pPr>
        <w:pStyle w:val="BodyText"/>
      </w:pPr>
      <w:r>
        <w:rPr>
          <w:b/>
          <w:bCs/>
        </w:rPr>
        <w:t xml:space="preserve">Step 4: Dependency mapping.</w:t>
      </w:r>
      <w:r>
        <w:t xml:space="preserve"> </w:t>
      </w:r>
      <w:r>
        <w:t xml:space="preserve">For each system, enumerate upstream and downstream dependencies using the IPAM dependency map from Vol I Book 01 and the SQL replication topology from Vol II Book 03. A dependency that has a longer RTO than the dependent system creates a recovery constraint: the dependent system cannot be recovered before the dependency is available, regardless of what its own RTO says. These constraints must be resolved by either adjusting RTO values or architecting away the hard dependency.</w:t>
      </w:r>
    </w:p>
    <w:p>
      <w:pPr>
        <w:pStyle w:val="BodyText"/>
      </w:pPr>
      <w:r>
        <w:rPr>
          <w:b/>
          <w:bCs/>
        </w:rPr>
        <w:t xml:space="preserve">Step 5: BIA table.</w:t>
      </w:r>
      <w:r>
        <w:t xml:space="preserve"> </w:t>
      </w:r>
      <w:r>
        <w:t xml:space="preserve">Compile results into a formal table for mission owner and ISSO review and sign-off.</w:t>
      </w:r>
    </w:p>
    <w:p>
      <w:pPr>
        <w:pStyle w:val="TableCaption"/>
      </w:pPr>
      <w:r>
        <w:t xml:space="preserve">BIA Summary — Mission-Critical Systems</w:t>
      </w:r>
    </w:p>
    <w:tbl>
      <w:tblPr>
        <w:tblStyle w:val="Table"/>
        <w:tblW w:type="pct" w:w="5000"/>
        <w:tblLayout w:type="fixed"/>
        <w:tblLook w:firstRow="1" w:lastRow="0" w:firstColumn="0" w:lastColumn="0" w:noHBand="0" w:noVBand="0" w:val="0020"/>
        <w:tblCaption w:val="BIA Summary — Mission-Critical Systems"/>
      </w:tblPr>
      <w:tblGrid>
        <w:gridCol w:w="1320"/>
        <w:gridCol w:w="1320"/>
        <w:gridCol w:w="1320"/>
        <w:gridCol w:w="1320"/>
        <w:gridCol w:w="1320"/>
        <w:gridCol w:w="1320"/>
      </w:tblGrid>
      <w:tr>
        <w:trPr>
          <w:tblHeader w:val="on"/>
        </w:trPr>
        <w:tc>
          <w:tcPr/>
          <w:p>
            <w:pPr>
              <w:pStyle w:val="Compact"/>
            </w:pPr>
            <w:r>
              <w:t xml:space="preserve">System</w:t>
            </w:r>
          </w:p>
        </w:tc>
        <w:tc>
          <w:tcPr/>
          <w:p>
            <w:pPr>
              <w:pStyle w:val="Compact"/>
            </w:pPr>
            <w:r>
              <w:t xml:space="preserve">MTD</w:t>
            </w:r>
          </w:p>
        </w:tc>
        <w:tc>
          <w:tcPr/>
          <w:p>
            <w:pPr>
              <w:pStyle w:val="Compact"/>
            </w:pPr>
            <w:r>
              <w:t xml:space="preserve">RTO</w:t>
            </w:r>
          </w:p>
        </w:tc>
        <w:tc>
          <w:tcPr/>
          <w:p>
            <w:pPr>
              <w:pStyle w:val="Compact"/>
            </w:pPr>
            <w:r>
              <w:t xml:space="preserve">RPO</w:t>
            </w:r>
          </w:p>
        </w:tc>
        <w:tc>
          <w:tcPr/>
          <w:p>
            <w:pPr>
              <w:pStyle w:val="Compact"/>
            </w:pPr>
            <w:r>
              <w:t xml:space="preserve">WRT</w:t>
            </w:r>
          </w:p>
        </w:tc>
        <w:tc>
          <w:tcPr/>
          <w:p>
            <w:pPr>
              <w:pStyle w:val="Compact"/>
            </w:pPr>
            <w:r>
              <w:t xml:space="preserve">Primary Dependencies</w:t>
            </w:r>
          </w:p>
        </w:tc>
      </w:tr>
      <w:tr>
        <w:tc>
          <w:tcPr/>
          <w:p>
            <w:pPr>
              <w:pStyle w:val="Compact"/>
            </w:pPr>
            <w:r>
              <w:t xml:space="preserve">Emergency Contact Center (telephony platform)</w:t>
            </w:r>
          </w:p>
        </w:tc>
        <w:tc>
          <w:tcPr/>
          <w:p>
            <w:pPr>
              <w:pStyle w:val="Compact"/>
            </w:pPr>
            <w:r>
              <w:t xml:space="preserve">4 hours (business hours)</w:t>
            </w:r>
          </w:p>
        </w:tc>
        <w:tc>
          <w:tcPr/>
          <w:p>
            <w:pPr>
              <w:pStyle w:val="Compact"/>
            </w:pPr>
            <w:r>
              <w:t xml:space="preserve">2 hours</w:t>
            </w:r>
          </w:p>
        </w:tc>
        <w:tc>
          <w:tcPr/>
          <w:p>
            <w:pPr>
              <w:pStyle w:val="Compact"/>
            </w:pPr>
            <w:r>
              <w:t xml:space="preserve">15 minutes (call recording)</w:t>
            </w:r>
          </w:p>
        </w:tc>
        <w:tc>
          <w:tcPr/>
          <w:p>
            <w:pPr>
              <w:pStyle w:val="Compact"/>
            </w:pPr>
            <w:r>
              <w:t xml:space="preserve">30 minutes</w:t>
            </w:r>
          </w:p>
        </w:tc>
        <w:tc>
          <w:tcPr/>
          <w:p>
            <w:pPr>
              <w:pStyle w:val="Compact"/>
            </w:pPr>
            <w:r>
              <w:t xml:space="preserve">DNS (DDI), Identity Provider (Entra), WAN circuit</w:t>
            </w:r>
          </w:p>
        </w:tc>
      </w:tr>
      <w:tr>
        <w:tc>
          <w:tcPr/>
          <w:p>
            <w:pPr>
              <w:pStyle w:val="Compact"/>
            </w:pPr>
            <w:r>
              <w:t xml:space="preserve">Case Management Database (SQL primary)</w:t>
            </w:r>
          </w:p>
        </w:tc>
        <w:tc>
          <w:tcPr/>
          <w:p>
            <w:pPr>
              <w:pStyle w:val="Compact"/>
            </w:pPr>
            <w:r>
              <w:t xml:space="preserve">8 hours</w:t>
            </w:r>
          </w:p>
        </w:tc>
        <w:tc>
          <w:tcPr/>
          <w:p>
            <w:pPr>
              <w:pStyle w:val="Compact"/>
            </w:pPr>
            <w:r>
              <w:t xml:space="preserve">4 hours</w:t>
            </w:r>
          </w:p>
        </w:tc>
        <w:tc>
          <w:tcPr/>
          <w:p>
            <w:pPr>
              <w:pStyle w:val="Compact"/>
            </w:pPr>
            <w:r>
              <w:t xml:space="preserve">5 minutes</w:t>
            </w:r>
          </w:p>
        </w:tc>
        <w:tc>
          <w:tcPr/>
          <w:p>
            <w:pPr>
              <w:pStyle w:val="Compact"/>
            </w:pPr>
            <w:r>
              <w:t xml:space="preserve">60 minutes</w:t>
            </w:r>
          </w:p>
        </w:tc>
        <w:tc>
          <w:tcPr/>
          <w:p>
            <w:pPr>
              <w:pStyle w:val="Compact"/>
            </w:pPr>
            <w:r>
              <w:t xml:space="preserve">SQL AG replica, DDI, Active Directory</w:t>
            </w:r>
          </w:p>
        </w:tc>
      </w:tr>
      <w:tr>
        <w:tc>
          <w:tcPr/>
          <w:p>
            <w:pPr>
              <w:pStyle w:val="Compact"/>
            </w:pPr>
            <w:r>
              <w:t xml:space="preserve">Internal Collaboration Platform</w:t>
            </w:r>
          </w:p>
        </w:tc>
        <w:tc>
          <w:tcPr/>
          <w:p>
            <w:pPr>
              <w:pStyle w:val="Compact"/>
            </w:pPr>
            <w:r>
              <w:t xml:space="preserve">24 hours</w:t>
            </w:r>
          </w:p>
        </w:tc>
        <w:tc>
          <w:tcPr/>
          <w:p>
            <w:pPr>
              <w:pStyle w:val="Compact"/>
            </w:pPr>
            <w:r>
              <w:t xml:space="preserve">8 hours</w:t>
            </w:r>
          </w:p>
        </w:tc>
        <w:tc>
          <w:tcPr/>
          <w:p>
            <w:pPr>
              <w:pStyle w:val="Compact"/>
            </w:pPr>
            <w:r>
              <w:t xml:space="preserve">60 minutes</w:t>
            </w:r>
          </w:p>
        </w:tc>
        <w:tc>
          <w:tcPr/>
          <w:p>
            <w:pPr>
              <w:pStyle w:val="Compact"/>
            </w:pPr>
            <w:r>
              <w:t xml:space="preserve">2 hours</w:t>
            </w:r>
          </w:p>
        </w:tc>
        <w:tc>
          <w:tcPr/>
          <w:p>
            <w:pPr>
              <w:pStyle w:val="Compact"/>
            </w:pPr>
            <w:r>
              <w:t xml:space="preserve">Identity Provider, Storage</w:t>
            </w:r>
          </w:p>
        </w:tc>
      </w:tr>
      <w:tr>
        <w:tc>
          <w:tcPr/>
          <w:p>
            <w:pPr>
              <w:pStyle w:val="Compact"/>
            </w:pPr>
            <w:r>
              <w:t xml:space="preserve">Network Services — DDI</w:t>
            </w:r>
          </w:p>
        </w:tc>
        <w:tc>
          <w:tcPr/>
          <w:p>
            <w:pPr>
              <w:pStyle w:val="Compact"/>
            </w:pPr>
            <w:r>
              <w:t xml:space="preserve">2 hours</w:t>
            </w:r>
          </w:p>
        </w:tc>
        <w:tc>
          <w:tcPr/>
          <w:p>
            <w:pPr>
              <w:pStyle w:val="Compact"/>
            </w:pPr>
            <w:r>
              <w:t xml:space="preserve">1 hour</w:t>
            </w:r>
          </w:p>
        </w:tc>
        <w:tc>
          <w:tcPr/>
          <w:p>
            <w:pPr>
              <w:pStyle w:val="Compact"/>
            </w:pPr>
            <w:r>
              <w:t xml:space="preserve">N/A (stateless resolution)</w:t>
            </w:r>
          </w:p>
        </w:tc>
        <w:tc>
          <w:tcPr/>
          <w:p>
            <w:pPr>
              <w:pStyle w:val="Compact"/>
            </w:pPr>
            <w:r>
              <w:t xml:space="preserve">15 minutes</w:t>
            </w:r>
          </w:p>
        </w:tc>
        <w:tc>
          <w:tcPr/>
          <w:p>
            <w:pPr>
              <w:pStyle w:val="Compact"/>
            </w:pPr>
            <w:r>
              <w:t xml:space="preserve">Physical network, Grid replication</w:t>
            </w:r>
          </w:p>
        </w:tc>
      </w:tr>
      <w:tr>
        <w:tc>
          <w:tcPr/>
          <w:p>
            <w:pPr>
              <w:pStyle w:val="Compact"/>
            </w:pPr>
            <w:r>
              <w:t xml:space="preserve">SD-WAN Control Plane</w:t>
            </w:r>
          </w:p>
        </w:tc>
        <w:tc>
          <w:tcPr/>
          <w:p>
            <w:pPr>
              <w:pStyle w:val="Compact"/>
            </w:pPr>
            <w:r>
              <w:t xml:space="preserve">30 minutes</w:t>
            </w:r>
          </w:p>
        </w:tc>
        <w:tc>
          <w:tcPr/>
          <w:p>
            <w:pPr>
              <w:pStyle w:val="Compact"/>
            </w:pPr>
            <w:r>
              <w:t xml:space="preserve">15 minutes (automatic)</w:t>
            </w:r>
          </w:p>
        </w:tc>
        <w:tc>
          <w:tcPr/>
          <w:p>
            <w:pPr>
              <w:pStyle w:val="Compact"/>
            </w:pPr>
            <w:r>
              <w:t xml:space="preserve">N/A</w:t>
            </w:r>
          </w:p>
        </w:tc>
        <w:tc>
          <w:tcPr/>
          <w:p>
            <w:pPr>
              <w:pStyle w:val="Compact"/>
            </w:pPr>
            <w:r>
              <w:t xml:space="preserve">5 minutes</w:t>
            </w:r>
          </w:p>
        </w:tc>
        <w:tc>
          <w:tcPr/>
          <w:p>
            <w:pPr>
              <w:pStyle w:val="Compact"/>
            </w:pPr>
            <w:r>
              <w:t xml:space="preserve">Internet DIA circuit</w:t>
            </w:r>
          </w:p>
        </w:tc>
      </w:tr>
      <w:tr>
        <w:tc>
          <w:tcPr/>
          <w:p>
            <w:pPr>
              <w:pStyle w:val="Compact"/>
            </w:pPr>
            <w:r>
              <w:t xml:space="preserve">Identity Provider (cloud-hosted)</w:t>
            </w:r>
          </w:p>
        </w:tc>
        <w:tc>
          <w:tcPr/>
          <w:p>
            <w:pPr>
              <w:pStyle w:val="Compact"/>
            </w:pPr>
            <w:r>
              <w:t xml:space="preserve">4 hours</w:t>
            </w:r>
          </w:p>
        </w:tc>
        <w:tc>
          <w:tcPr/>
          <w:p>
            <w:pPr>
              <w:pStyle w:val="Compact"/>
            </w:pPr>
            <w:r>
              <w:t xml:space="preserve">N/A (vendor-managed HA)</w:t>
            </w:r>
          </w:p>
        </w:tc>
        <w:tc>
          <w:tcPr/>
          <w:p>
            <w:pPr>
              <w:pStyle w:val="Compact"/>
            </w:pPr>
            <w:r>
              <w:t xml:space="preserve">N/A</w:t>
            </w:r>
          </w:p>
        </w:tc>
        <w:tc>
          <w:tcPr/>
          <w:p>
            <w:pPr>
              <w:pStyle w:val="Compact"/>
            </w:pPr>
            <w:r>
              <w:t xml:space="preserve">15 minutes (break-glass validation)</w:t>
            </w:r>
          </w:p>
        </w:tc>
        <w:tc>
          <w:tcPr/>
          <w:p>
            <w:pPr>
              <w:pStyle w:val="Compact"/>
            </w:pPr>
            <w:r>
              <w:t xml:space="preserve">Internet connectivity</w:t>
            </w:r>
          </w:p>
        </w:tc>
      </w:tr>
      <w:tr>
        <w:tc>
          <w:tcPr/>
          <w:p>
            <w:pPr>
              <w:pStyle w:val="Compact"/>
            </w:pPr>
            <w:r>
              <w:t xml:space="preserve">Audit Logging Platform</w:t>
            </w:r>
          </w:p>
        </w:tc>
        <w:tc>
          <w:tcPr/>
          <w:p>
            <w:pPr>
              <w:pStyle w:val="Compact"/>
            </w:pPr>
            <w:r>
              <w:t xml:space="preserve">12 hours</w:t>
            </w:r>
          </w:p>
        </w:tc>
        <w:tc>
          <w:tcPr/>
          <w:p>
            <w:pPr>
              <w:pStyle w:val="Compact"/>
            </w:pPr>
            <w:r>
              <w:t xml:space="preserve">6 hours</w:t>
            </w:r>
          </w:p>
        </w:tc>
        <w:tc>
          <w:tcPr/>
          <w:p>
            <w:pPr>
              <w:pStyle w:val="Compact"/>
            </w:pPr>
            <w:r>
              <w:t xml:space="preserve">60 minutes</w:t>
            </w:r>
          </w:p>
        </w:tc>
        <w:tc>
          <w:tcPr/>
          <w:p>
            <w:pPr>
              <w:pStyle w:val="Compact"/>
            </w:pPr>
            <w:r>
              <w:t xml:space="preserve">30 minutes</w:t>
            </w:r>
          </w:p>
        </w:tc>
        <w:tc>
          <w:tcPr/>
          <w:p>
            <w:pPr>
              <w:pStyle w:val="Compact"/>
            </w:pPr>
            <w:r>
              <w:t xml:space="preserve">Storage, network</w:t>
            </w:r>
          </w:p>
        </w:tc>
      </w:tr>
      <w:tr>
        <w:tc>
          <w:tcPr/>
          <w:p>
            <w:pPr>
              <w:pStyle w:val="Compact"/>
            </w:pPr>
            <w:r>
              <w:t xml:space="preserve">Application Binaries / Deployment Store</w:t>
            </w:r>
          </w:p>
        </w:tc>
        <w:tc>
          <w:tcPr/>
          <w:p>
            <w:pPr>
              <w:pStyle w:val="Compact"/>
            </w:pPr>
            <w:r>
              <w:t xml:space="preserve">48 hours</w:t>
            </w:r>
          </w:p>
        </w:tc>
        <w:tc>
          <w:tcPr/>
          <w:p>
            <w:pPr>
              <w:pStyle w:val="Compact"/>
            </w:pPr>
            <w:r>
              <w:t xml:space="preserve">24 hours</w:t>
            </w:r>
          </w:p>
        </w:tc>
        <w:tc>
          <w:tcPr/>
          <w:p>
            <w:pPr>
              <w:pStyle w:val="Compact"/>
            </w:pPr>
            <w:r>
              <w:t xml:space="preserve">24 hours</w:t>
            </w:r>
          </w:p>
        </w:tc>
        <w:tc>
          <w:tcPr/>
          <w:p>
            <w:pPr>
              <w:pStyle w:val="Compact"/>
            </w:pPr>
            <w:r>
              <w:t xml:space="preserve">4 hours</w:t>
            </w:r>
          </w:p>
        </w:tc>
        <w:tc>
          <w:tcPr/>
          <w:p>
            <w:pPr>
              <w:pStyle w:val="Compact"/>
            </w:pPr>
            <w:r>
              <w:t xml:space="preserve">Storage, DDI</w:t>
            </w:r>
          </w:p>
        </w:tc>
      </w:tr>
    </w:tbl>
    <w:bookmarkEnd w:id="20"/>
    <w:bookmarkEnd w:id="21"/>
    <w:bookmarkStart w:id="22" w:name="X8938e32bf7af6dc2f15df64cb8183322747bdb3"/>
    <w:p>
      <w:pPr>
        <w:pStyle w:val="Heading2"/>
      </w:pPr>
      <w:r>
        <w:t xml:space="preserve">BIA Values Require Mission-Owner Signature</w:t>
      </w:r>
    </w:p>
    <w:p>
      <w:pPr>
        <w:pStyle w:val="FirstParagraph"/>
      </w:pPr>
      <w:r>
        <w:t xml:space="preserve">The MTD value in each BIA row is a mission decision, not a technical estimate. Before the BIA is incorporated into the Contingency Plan, each mission owner must review and sign the row corresponding to their system. If the mission owner believes the MTD is incorrect, the technical RTO must be re-evaluated to close the gap, not the MTD adjusted downward to match a convenient technical answer.</w:t>
      </w:r>
    </w:p>
    <w:bookmarkEnd w:id="22"/>
    <w:bookmarkStart w:id="28" w:name="cp-2-contingency-plan-document-structure"/>
    <w:p>
      <w:pPr>
        <w:pStyle w:val="Heading2"/>
      </w:pPr>
      <w:r>
        <w:t xml:space="preserve">CP-2 Contingency Plan Document Structure</w:t>
      </w:r>
    </w:p>
    <w:p>
      <w:pPr>
        <w:pStyle w:val="FirstParagraph"/>
      </w:pPr>
      <w:r>
        <w:t xml:space="preserve">NIST SP 800-34 Rev 1 structures an Information System Contingency Plan around an Introduction, a Concept of Operations, and three sequential phases — Activation/Notification, Recovery, and Reconstitution — with supporting appendices. This document organizes that structure into the seven working sections below, with sufficient detail for agency authors to populate each. The runbooks from Vol II Book 02 and Vol II Book 03 are explicitly referenced as appendix content that satisfies the Recovery-phase procedure requirements.</w:t>
      </w:r>
    </w:p>
    <w:bookmarkStart w:id="23" w:name="section-1-introduction"/>
    <w:p>
      <w:pPr>
        <w:pStyle w:val="Heading3"/>
      </w:pPr>
      <w:r>
        <w:t xml:space="preserve">Section 1: Introduction</w:t>
      </w:r>
    </w:p>
    <w:p>
      <w:pPr>
        <w:pStyle w:val="FirstParagraph"/>
      </w:pPr>
      <w:r>
        <w:rPr>
          <w:b/>
          <w:bCs/>
        </w:rPr>
        <w:t xml:space="preserve">1.1 Purpose.</w:t>
      </w:r>
      <w:r>
        <w:t xml:space="preserve"> </w:t>
      </w:r>
      <w:r>
        <w:t xml:space="preserve">This Contingency Plan establishes procedures and responsibilities for restoring mission-critical information systems operated by [Agency Name] following an unplanned disruption. It is developed in accordance with NIST SP 800-34 Rev 1, NIST SP 800-53 Rev 5 control CP-2, and the agency’s Information Security Continuous Monitoring strategy.</w:t>
      </w:r>
    </w:p>
    <w:p>
      <w:pPr>
        <w:pStyle w:val="BodyText"/>
      </w:pPr>
      <w:r>
        <w:rPr>
          <w:b/>
          <w:bCs/>
        </w:rPr>
        <w:t xml:space="preserve">1.2 Scope.</w:t>
      </w:r>
      <w:r>
        <w:t xml:space="preserve"> </w:t>
      </w:r>
      <w:r>
        <w:t xml:space="preserve">This plan applies to the following systems and their supporting infrastructure:</w:t>
      </w:r>
    </w:p>
    <w:p>
      <w:pPr>
        <w:pStyle w:val="Compact"/>
        <w:numPr>
          <w:ilvl w:val="0"/>
          <w:numId w:val="1003"/>
        </w:numPr>
      </w:pPr>
      <w:r>
        <w:t xml:space="preserve">[List each system from the BIA table, with its Federal Information System designation if applicable]</w:t>
      </w:r>
    </w:p>
    <w:p>
      <w:pPr>
        <w:pStyle w:val="Compact"/>
        <w:numPr>
          <w:ilvl w:val="0"/>
          <w:numId w:val="1003"/>
        </w:numPr>
      </w:pPr>
      <w:r>
        <w:t xml:space="preserve">Network infrastructure: SD-WAN fabric, DDI (DNS/DHCP/IPAM), and associated WAN circuits</w:t>
      </w:r>
    </w:p>
    <w:p>
      <w:pPr>
        <w:pStyle w:val="Compact"/>
        <w:numPr>
          <w:ilvl w:val="0"/>
          <w:numId w:val="1003"/>
        </w:numPr>
      </w:pPr>
      <w:r>
        <w:t xml:space="preserve">Cloud-hosted services operating under the agency’s FedRAMP authorization boundary</w:t>
      </w:r>
    </w:p>
    <w:p>
      <w:pPr>
        <w:pStyle w:val="Compact"/>
        <w:numPr>
          <w:ilvl w:val="0"/>
          <w:numId w:val="1003"/>
        </w:numPr>
      </w:pPr>
      <w:r>
        <w:t xml:space="preserve">Third-party services with interconnection agreements (list each)</w:t>
      </w:r>
    </w:p>
    <w:p>
      <w:pPr>
        <w:pStyle w:val="FirstParagraph"/>
      </w:pPr>
      <w:r>
        <w:rPr>
          <w:b/>
          <w:bCs/>
        </w:rPr>
        <w:t xml:space="preserve">1.3 System Description.</w:t>
      </w:r>
      <w:r>
        <w:t xml:space="preserve"> </w:t>
      </w:r>
      <w:r>
        <w:t xml:space="preserve">[Summarize the mission-critical systems covered by this plan in plain language: what they do, who uses them, and why they are essential to the agency mission. Reference the System Security Plan for the full system description.]</w:t>
      </w:r>
    </w:p>
    <w:p>
      <w:pPr>
        <w:pStyle w:val="BodyText"/>
      </w:pPr>
      <w:r>
        <w:rPr>
          <w:b/>
          <w:bCs/>
        </w:rPr>
        <w:t xml:space="preserve">1.4 Applicable Laws, Regulations, and Policies.</w:t>
      </w:r>
    </w:p>
    <w:p>
      <w:pPr>
        <w:pStyle w:val="Compact"/>
        <w:numPr>
          <w:ilvl w:val="0"/>
          <w:numId w:val="1004"/>
        </w:numPr>
      </w:pPr>
      <w:r>
        <w:t xml:space="preserve">Federal Information Security Modernization Act (FISMA) of 2014</w:t>
      </w:r>
    </w:p>
    <w:p>
      <w:pPr>
        <w:pStyle w:val="Compact"/>
        <w:numPr>
          <w:ilvl w:val="0"/>
          <w:numId w:val="1004"/>
        </w:numPr>
      </w:pPr>
      <w:r>
        <w:t xml:space="preserve">OMB Circular A-130, Managing Information as a Strategic Resource</w:t>
      </w:r>
    </w:p>
    <w:p>
      <w:pPr>
        <w:pStyle w:val="Compact"/>
        <w:numPr>
          <w:ilvl w:val="0"/>
          <w:numId w:val="1004"/>
        </w:numPr>
      </w:pPr>
      <w:r>
        <w:t xml:space="preserve">NIST SP 800-34 Rev 1, Contingency Planning Guide for Federal Information Systems</w:t>
      </w:r>
    </w:p>
    <w:p>
      <w:pPr>
        <w:pStyle w:val="Compact"/>
        <w:numPr>
          <w:ilvl w:val="0"/>
          <w:numId w:val="1004"/>
        </w:numPr>
      </w:pPr>
      <w:r>
        <w:t xml:space="preserve">NIST SP 800-53 Rev 5, Security and Privacy Controls for Information Systems and Organizations</w:t>
      </w:r>
    </w:p>
    <w:p>
      <w:pPr>
        <w:pStyle w:val="Compact"/>
        <w:numPr>
          <w:ilvl w:val="0"/>
          <w:numId w:val="1004"/>
        </w:numPr>
      </w:pPr>
      <w:r>
        <w:t xml:space="preserve">[Agency-specific continuity of operations plan (COOP) reference]</w:t>
      </w:r>
    </w:p>
    <w:p>
      <w:pPr>
        <w:pStyle w:val="Compact"/>
        <w:numPr>
          <w:ilvl w:val="0"/>
          <w:numId w:val="1004"/>
        </w:numPr>
      </w:pPr>
      <w:r>
        <w:t xml:space="preserve">[FedRAMP authorization package reference]</w:t>
      </w:r>
    </w:p>
    <w:p>
      <w:pPr>
        <w:pStyle w:val="FirstParagraph"/>
      </w:pPr>
      <w:r>
        <w:rPr>
          <w:b/>
          <w:bCs/>
        </w:rPr>
        <w:t xml:space="preserve">1.5 Record of Changes.</w:t>
      </w:r>
    </w:p>
    <w:p>
      <w:pPr>
        <w:pStyle w:val="TableCaption"/>
      </w:pPr>
      <w:r>
        <w:t xml:space="preserve">Plan Change History</w:t>
      </w:r>
    </w:p>
    <w:tbl>
      <w:tblPr>
        <w:tblStyle w:val="Table"/>
        <w:tblW w:type="auto" w:w="0"/>
        <w:tblLook w:firstRow="1" w:lastRow="0" w:firstColumn="0" w:lastColumn="0" w:noHBand="0" w:noVBand="0" w:val="0020"/>
        <w:tblCaption w:val="Plan Change History"/>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Author</w:t>
            </w:r>
          </w:p>
        </w:tc>
        <w:tc>
          <w:tcPr/>
          <w:p>
            <w:pPr>
              <w:pStyle w:val="Compact"/>
            </w:pPr>
            <w:r>
              <w:t xml:space="preserve">Summary of Changes</w:t>
            </w:r>
          </w:p>
        </w:tc>
      </w:tr>
      <w:tr>
        <w:tc>
          <w:tcPr/>
          <w:p>
            <w:pPr>
              <w:pStyle w:val="Compact"/>
            </w:pPr>
            <w:r>
              <w:t xml:space="preserve">1.0</w:t>
            </w:r>
          </w:p>
        </w:tc>
        <w:tc>
          <w:tcPr/>
          <w:p>
            <w:pPr>
              <w:pStyle w:val="Compact"/>
            </w:pPr>
            <w:r>
              <w:t xml:space="preserve">[Initial date]</w:t>
            </w:r>
          </w:p>
        </w:tc>
        <w:tc>
          <w:tcPr/>
          <w:p>
            <w:pPr>
              <w:pStyle w:val="Compact"/>
            </w:pPr>
            <w:r>
              <w:t xml:space="preserve">[Author]</w:t>
            </w:r>
          </w:p>
        </w:tc>
        <w:tc>
          <w:tcPr/>
          <w:p>
            <w:pPr>
              <w:pStyle w:val="Compact"/>
            </w:pPr>
            <w:r>
              <w:t xml:space="preserve">Initial plan publication</w:t>
            </w:r>
          </w:p>
        </w:tc>
      </w:tr>
      <w:tr>
        <w:tc>
          <w:tcPr/>
          <w:p>
            <w:pPr>
              <w:pStyle w:val="Compact"/>
            </w:pPr>
            <w:r>
              <w:t xml:space="preserve">1.1</w:t>
            </w:r>
          </w:p>
        </w:tc>
        <w:tc>
          <w:tcPr/>
          <w:p>
            <w:pPr>
              <w:pStyle w:val="Compact"/>
            </w:pPr>
            <w:r>
              <w:t xml:space="preserve">[Date]</w:t>
            </w:r>
          </w:p>
        </w:tc>
        <w:tc>
          <w:tcPr/>
          <w:p>
            <w:pPr>
              <w:pStyle w:val="Compact"/>
            </w:pPr>
            <w:r>
              <w:t xml:space="preserve">[Author]</w:t>
            </w:r>
          </w:p>
        </w:tc>
        <w:tc>
          <w:tcPr/>
          <w:p>
            <w:pPr>
              <w:pStyle w:val="Compact"/>
            </w:pPr>
            <w:r>
              <w:t xml:space="preserve">Updated per [annual test / system change]</w:t>
            </w:r>
          </w:p>
        </w:tc>
      </w:tr>
    </w:tbl>
    <w:p>
      <w:pPr>
        <w:pStyle w:val="BodyText"/>
      </w:pPr>
      <w:r>
        <w:rPr>
          <w:b/>
          <w:bCs/>
        </w:rPr>
        <w:t xml:space="preserve">1.6 Plan Approval.</w:t>
      </w:r>
      <w:r>
        <w:t xml:space="preserve"> </w:t>
      </w:r>
      <w:r>
        <w:t xml:space="preserve">This plan is approved by [Authorizing Official Name and Title] and takes effect on [date]. The System Owner and Information System Security Officer co-sign the plan cover page. The plan must be re-approved following any update to Section 3, 4, or 5.</w:t>
      </w:r>
    </w:p>
    <w:bookmarkEnd w:id="23"/>
    <w:bookmarkStart w:id="24" w:name="section-2-concept-of-operations"/>
    <w:p>
      <w:pPr>
        <w:pStyle w:val="Heading3"/>
      </w:pPr>
      <w:r>
        <w:t xml:space="preserve">Section 2: Concept of Operations</w:t>
      </w:r>
    </w:p>
    <w:p>
      <w:pPr>
        <w:pStyle w:val="FirstParagraph"/>
      </w:pPr>
      <w:r>
        <w:rPr>
          <w:b/>
          <w:bCs/>
        </w:rPr>
        <w:t xml:space="preserve">2.1 Recovery Phases.</w:t>
      </w:r>
      <w:r>
        <w:t xml:space="preserve"> </w:t>
      </w:r>
      <w:r>
        <w:t xml:space="preserve">Contingency response proceeds through five phases:</w:t>
      </w:r>
    </w:p>
    <w:p>
      <w:pPr>
        <w:pStyle w:val="Compact"/>
        <w:numPr>
          <w:ilvl w:val="0"/>
          <w:numId w:val="1005"/>
        </w:numPr>
      </w:pPr>
      <w:r>
        <w:rPr>
          <w:b/>
          <w:bCs/>
        </w:rPr>
        <w:t xml:space="preserve">Activation</w:t>
      </w:r>
      <w:r>
        <w:t xml:space="preserve"> </w:t>
      </w:r>
      <w:r>
        <w:t xml:space="preserve">— the triggering event is detected, evaluated against activation thresholds, and the plan is formally declared active by authorized personnel.</w:t>
      </w:r>
    </w:p>
    <w:p>
      <w:pPr>
        <w:pStyle w:val="Compact"/>
        <w:numPr>
          <w:ilvl w:val="0"/>
          <w:numId w:val="1005"/>
        </w:numPr>
      </w:pPr>
      <w:r>
        <w:rPr>
          <w:b/>
          <w:bCs/>
        </w:rPr>
        <w:t xml:space="preserve">Notification</w:t>
      </w:r>
      <w:r>
        <w:t xml:space="preserve"> </w:t>
      </w:r>
      <w:r>
        <w:t xml:space="preserve">— the Contingency Plan Coordinator notifies recovery team members, management, and external stakeholders in accordance with the notification tree in Section 4.</w:t>
      </w:r>
    </w:p>
    <w:p>
      <w:pPr>
        <w:pStyle w:val="Compact"/>
        <w:numPr>
          <w:ilvl w:val="0"/>
          <w:numId w:val="1005"/>
        </w:numPr>
      </w:pPr>
      <w:r>
        <w:rPr>
          <w:b/>
          <w:bCs/>
        </w:rPr>
        <w:t xml:space="preserve">Recovery</w:t>
      </w:r>
      <w:r>
        <w:t xml:space="preserve"> </w:t>
      </w:r>
      <w:r>
        <w:t xml:space="preserve">— technical recovery teams execute component-level recovery procedures (Appendices A through E) in priority order.</w:t>
      </w:r>
    </w:p>
    <w:p>
      <w:pPr>
        <w:pStyle w:val="Compact"/>
        <w:numPr>
          <w:ilvl w:val="0"/>
          <w:numId w:val="1005"/>
        </w:numPr>
      </w:pPr>
      <w:r>
        <w:rPr>
          <w:b/>
          <w:bCs/>
        </w:rPr>
        <w:t xml:space="preserve">Validation</w:t>
      </w:r>
      <w:r>
        <w:t xml:space="preserve"> </w:t>
      </w:r>
      <w:r>
        <w:t xml:space="preserve">— recovered systems are tested against defined acceptance criteria before being returned to production use.</w:t>
      </w:r>
    </w:p>
    <w:p>
      <w:pPr>
        <w:pStyle w:val="Compact"/>
        <w:numPr>
          <w:ilvl w:val="0"/>
          <w:numId w:val="1005"/>
        </w:numPr>
      </w:pPr>
      <w:r>
        <w:rPr>
          <w:b/>
          <w:bCs/>
        </w:rPr>
        <w:t xml:space="preserve">Reconstitution</w:t>
      </w:r>
      <w:r>
        <w:t xml:space="preserve"> </w:t>
      </w:r>
      <w:r>
        <w:t xml:space="preserve">— once validation is complete, operations are returned to the primary site (if applicable), temporary workarounds are terminated, and the plan is deactivated.</w:t>
      </w:r>
    </w:p>
    <w:p>
      <w:pPr>
        <w:pStyle w:val="FirstParagraph"/>
      </w:pPr>
      <w:r>
        <w:rPr>
          <w:b/>
          <w:bCs/>
        </w:rPr>
        <w:t xml:space="preserve">2.2 Recovery Priorities.</w:t>
      </w:r>
      <w:r>
        <w:t xml:space="preserve"> </w:t>
      </w:r>
      <w:r>
        <w:t xml:space="preserve">Systems are recovered in the following priority order, based on the MTD values from the BIA:</w:t>
      </w:r>
    </w:p>
    <w:p>
      <w:pPr>
        <w:pStyle w:val="TableCaption"/>
      </w:pPr>
      <w:r>
        <w:t xml:space="preserve">Recovery Priority Order</w:t>
      </w:r>
    </w:p>
    <w:tbl>
      <w:tblPr>
        <w:tblStyle w:val="Table"/>
        <w:tblW w:type="pct" w:w="5000"/>
        <w:tblLayout w:type="fixed"/>
        <w:tblLook w:firstRow="1" w:lastRow="0" w:firstColumn="0" w:lastColumn="0" w:noHBand="0" w:noVBand="0" w:val="0020"/>
        <w:tblCaption w:val="Recovery Priority Order"/>
      </w:tblPr>
      <w:tblGrid>
        <w:gridCol w:w="1980"/>
        <w:gridCol w:w="1980"/>
        <w:gridCol w:w="1980"/>
        <w:gridCol w:w="1980"/>
      </w:tblGrid>
      <w:tr>
        <w:trPr>
          <w:tblHeader w:val="on"/>
        </w:trPr>
        <w:tc>
          <w:tcPr/>
          <w:p>
            <w:pPr>
              <w:pStyle w:val="Compact"/>
            </w:pPr>
            <w:r>
              <w:t xml:space="preserve">Priority</w:t>
            </w:r>
          </w:p>
        </w:tc>
        <w:tc>
          <w:tcPr/>
          <w:p>
            <w:pPr>
              <w:pStyle w:val="Compact"/>
            </w:pPr>
            <w:r>
              <w:t xml:space="preserve">System</w:t>
            </w:r>
          </w:p>
        </w:tc>
        <w:tc>
          <w:tcPr/>
          <w:p>
            <w:pPr>
              <w:pStyle w:val="Compact"/>
            </w:pPr>
            <w:r>
              <w:t xml:space="preserve">MTD</w:t>
            </w:r>
          </w:p>
        </w:tc>
        <w:tc>
          <w:tcPr/>
          <w:p>
            <w:pPr>
              <w:pStyle w:val="Compact"/>
            </w:pPr>
            <w:r>
              <w:t xml:space="preserve">Rationale</w:t>
            </w:r>
          </w:p>
        </w:tc>
      </w:tr>
      <w:tr>
        <w:tc>
          <w:tcPr/>
          <w:p>
            <w:pPr>
              <w:pStyle w:val="Compact"/>
            </w:pPr>
            <w:r>
              <w:t xml:space="preserve">1</w:t>
            </w:r>
          </w:p>
        </w:tc>
        <w:tc>
          <w:tcPr/>
          <w:p>
            <w:pPr>
              <w:pStyle w:val="Compact"/>
            </w:pPr>
            <w:r>
              <w:t xml:space="preserve">Network Services (DDI, SD-WAN)</w:t>
            </w:r>
          </w:p>
        </w:tc>
        <w:tc>
          <w:tcPr/>
          <w:p>
            <w:pPr>
              <w:pStyle w:val="Compact"/>
            </w:pPr>
            <w:r>
              <w:t xml:space="preserve">2 hours / 30 minutes</w:t>
            </w:r>
          </w:p>
        </w:tc>
        <w:tc>
          <w:tcPr/>
          <w:p>
            <w:pPr>
              <w:pStyle w:val="Compact"/>
            </w:pPr>
            <w:r>
              <w:t xml:space="preserve">All other systems depend on network connectivity</w:t>
            </w:r>
          </w:p>
        </w:tc>
      </w:tr>
      <w:tr>
        <w:tc>
          <w:tcPr/>
          <w:p>
            <w:pPr>
              <w:pStyle w:val="Compact"/>
            </w:pPr>
            <w:r>
              <w:t xml:space="preserve">2</w:t>
            </w:r>
          </w:p>
        </w:tc>
        <w:tc>
          <w:tcPr/>
          <w:p>
            <w:pPr>
              <w:pStyle w:val="Compact"/>
            </w:pPr>
            <w:r>
              <w:t xml:space="preserve">Identity Provider</w:t>
            </w:r>
          </w:p>
        </w:tc>
        <w:tc>
          <w:tcPr/>
          <w:p>
            <w:pPr>
              <w:pStyle w:val="Compact"/>
            </w:pPr>
            <w:r>
              <w:t xml:space="preserve">4 hours (break-glass available)</w:t>
            </w:r>
          </w:p>
        </w:tc>
        <w:tc>
          <w:tcPr/>
          <w:p>
            <w:pPr>
              <w:pStyle w:val="Compact"/>
            </w:pPr>
            <w:r>
              <w:t xml:space="preserve">Authentication required before any application recovery</w:t>
            </w:r>
          </w:p>
        </w:tc>
      </w:tr>
      <w:tr>
        <w:tc>
          <w:tcPr/>
          <w:p>
            <w:pPr>
              <w:pStyle w:val="Compact"/>
            </w:pPr>
            <w:r>
              <w:t xml:space="preserve">3</w:t>
            </w:r>
          </w:p>
        </w:tc>
        <w:tc>
          <w:tcPr/>
          <w:p>
            <w:pPr>
              <w:pStyle w:val="Compact"/>
            </w:pPr>
            <w:r>
              <w:t xml:space="preserve">Emergency Contact Center</w:t>
            </w:r>
          </w:p>
        </w:tc>
        <w:tc>
          <w:tcPr/>
          <w:p>
            <w:pPr>
              <w:pStyle w:val="Compact"/>
            </w:pPr>
            <w:r>
              <w:t xml:space="preserve">4 hours</w:t>
            </w:r>
          </w:p>
        </w:tc>
        <w:tc>
          <w:tcPr/>
          <w:p>
            <w:pPr>
              <w:pStyle w:val="Compact"/>
            </w:pPr>
            <w:r>
              <w:t xml:space="preserve">Statutory mission obligation; public-facing</w:t>
            </w:r>
          </w:p>
        </w:tc>
      </w:tr>
      <w:tr>
        <w:tc>
          <w:tcPr/>
          <w:p>
            <w:pPr>
              <w:pStyle w:val="Compact"/>
            </w:pPr>
            <w:r>
              <w:t xml:space="preserve">4</w:t>
            </w:r>
          </w:p>
        </w:tc>
        <w:tc>
          <w:tcPr/>
          <w:p>
            <w:pPr>
              <w:pStyle w:val="Compact"/>
            </w:pPr>
            <w:r>
              <w:t xml:space="preserve">Case Management Database</w:t>
            </w:r>
          </w:p>
        </w:tc>
        <w:tc>
          <w:tcPr/>
          <w:p>
            <w:pPr>
              <w:pStyle w:val="Compact"/>
            </w:pPr>
            <w:r>
              <w:t xml:space="preserve">8 hours</w:t>
            </w:r>
          </w:p>
        </w:tc>
        <w:tc>
          <w:tcPr/>
          <w:p>
            <w:pPr>
              <w:pStyle w:val="Compact"/>
            </w:pPr>
            <w:r>
              <w:t xml:space="preserve">Operational continuity for case workers</w:t>
            </w:r>
          </w:p>
        </w:tc>
      </w:tr>
      <w:tr>
        <w:tc>
          <w:tcPr/>
          <w:p>
            <w:pPr>
              <w:pStyle w:val="Compact"/>
            </w:pPr>
            <w:r>
              <w:t xml:space="preserve">5</w:t>
            </w:r>
          </w:p>
        </w:tc>
        <w:tc>
          <w:tcPr/>
          <w:p>
            <w:pPr>
              <w:pStyle w:val="Compact"/>
            </w:pPr>
            <w:r>
              <w:t xml:space="preserve">Audit Logging Platform</w:t>
            </w:r>
          </w:p>
        </w:tc>
        <w:tc>
          <w:tcPr/>
          <w:p>
            <w:pPr>
              <w:pStyle w:val="Compact"/>
            </w:pPr>
            <w:r>
              <w:t xml:space="preserve">12 hours</w:t>
            </w:r>
          </w:p>
        </w:tc>
        <w:tc>
          <w:tcPr/>
          <w:p>
            <w:pPr>
              <w:pStyle w:val="Compact"/>
            </w:pPr>
            <w:r>
              <w:t xml:space="preserve">Required for incident investigation; not operational blocker</w:t>
            </w:r>
          </w:p>
        </w:tc>
      </w:tr>
      <w:tr>
        <w:tc>
          <w:tcPr/>
          <w:p>
            <w:pPr>
              <w:pStyle w:val="Compact"/>
            </w:pPr>
            <w:r>
              <w:t xml:space="preserve">6</w:t>
            </w:r>
          </w:p>
        </w:tc>
        <w:tc>
          <w:tcPr/>
          <w:p>
            <w:pPr>
              <w:pStyle w:val="Compact"/>
            </w:pPr>
            <w:r>
              <w:t xml:space="preserve">Internal Collaboration Platform</w:t>
            </w:r>
          </w:p>
        </w:tc>
        <w:tc>
          <w:tcPr/>
          <w:p>
            <w:pPr>
              <w:pStyle w:val="Compact"/>
            </w:pPr>
            <w:r>
              <w:t xml:space="preserve">24 hours</w:t>
            </w:r>
          </w:p>
        </w:tc>
        <w:tc>
          <w:tcPr/>
          <w:p>
            <w:pPr>
              <w:pStyle w:val="Compact"/>
            </w:pPr>
            <w:r>
              <w:t xml:space="preserve">Staff can use manual alternates</w:t>
            </w:r>
          </w:p>
        </w:tc>
      </w:tr>
      <w:tr>
        <w:tc>
          <w:tcPr/>
          <w:p>
            <w:pPr>
              <w:pStyle w:val="Compact"/>
            </w:pPr>
            <w:r>
              <w:t xml:space="preserve">7</w:t>
            </w:r>
          </w:p>
        </w:tc>
        <w:tc>
          <w:tcPr/>
          <w:p>
            <w:pPr>
              <w:pStyle w:val="Compact"/>
            </w:pPr>
            <w:r>
              <w:t xml:space="preserve">Application Deployment Store</w:t>
            </w:r>
          </w:p>
        </w:tc>
        <w:tc>
          <w:tcPr/>
          <w:p>
            <w:pPr>
              <w:pStyle w:val="Compact"/>
            </w:pPr>
            <w:r>
              <w:t xml:space="preserve">48 hours</w:t>
            </w:r>
          </w:p>
        </w:tc>
        <w:tc>
          <w:tcPr/>
          <w:p>
            <w:pPr>
              <w:pStyle w:val="Compact"/>
            </w:pPr>
            <w:r>
              <w:t xml:space="preserve">No active sessions depend on deployment pipeline</w:t>
            </w:r>
          </w:p>
        </w:tc>
      </w:tr>
    </w:tbl>
    <w:p>
      <w:pPr>
        <w:pStyle w:val="BodyText"/>
      </w:pPr>
      <w:r>
        <w:rPr>
          <w:b/>
          <w:bCs/>
        </w:rPr>
        <w:t xml:space="preserve">2.3 Assumptions and Conditions.</w:t>
      </w:r>
    </w:p>
    <w:p>
      <w:pPr>
        <w:pStyle w:val="Compact"/>
        <w:numPr>
          <w:ilvl w:val="0"/>
          <w:numId w:val="1006"/>
        </w:numPr>
      </w:pPr>
      <w:r>
        <w:t xml:space="preserve">The alternate processing site (secondary cloud region) is provisioned and tested at least annually.</w:t>
      </w:r>
    </w:p>
    <w:p>
      <w:pPr>
        <w:pStyle w:val="Compact"/>
        <w:numPr>
          <w:ilvl w:val="0"/>
          <w:numId w:val="1006"/>
        </w:numPr>
      </w:pPr>
      <w:r>
        <w:t xml:space="preserve">Recovery personnel are familiar with their roles and have completed annual contingency training (CP-3).</w:t>
      </w:r>
    </w:p>
    <w:p>
      <w:pPr>
        <w:pStyle w:val="Compact"/>
        <w:numPr>
          <w:ilvl w:val="0"/>
          <w:numId w:val="1006"/>
        </w:numPr>
      </w:pPr>
      <w:r>
        <w:t xml:space="preserve">Contact information in the notification tree (Section 4) is reviewed and updated quarterly.</w:t>
      </w:r>
    </w:p>
    <w:p>
      <w:pPr>
        <w:pStyle w:val="Compact"/>
        <w:numPr>
          <w:ilvl w:val="0"/>
          <w:numId w:val="1006"/>
        </w:numPr>
      </w:pPr>
      <w:r>
        <w:t xml:space="preserve">The alternate storage site (Section 5, CP-6) contains current copies of all data and application artifacts.</w:t>
      </w:r>
    </w:p>
    <w:p>
      <w:pPr>
        <w:pStyle w:val="Compact"/>
        <w:numPr>
          <w:ilvl w:val="0"/>
          <w:numId w:val="1006"/>
        </w:numPr>
      </w:pPr>
      <w:r>
        <w:t xml:space="preserve">Internet connectivity is available at the alternate site. If Internet connectivity is also disrupted, the plan assumes connectivity is restored within one hour.</w:t>
      </w:r>
    </w:p>
    <w:p>
      <w:pPr>
        <w:pStyle w:val="Compact"/>
        <w:numPr>
          <w:ilvl w:val="0"/>
          <w:numId w:val="1006"/>
        </w:numPr>
      </w:pPr>
      <w:r>
        <w:t xml:space="preserve">This plan does not address scenarios in which all personnel with recovery authority are simultaneously unavailable (addressed by the agency COOP).</w:t>
      </w:r>
    </w:p>
    <w:p>
      <w:pPr>
        <w:pStyle w:val="FirstParagraph"/>
      </w:pPr>
      <w:r>
        <w:rPr>
          <w:b/>
          <w:bCs/>
        </w:rPr>
        <w:t xml:space="preserve">2.4 Points of Contact.</w:t>
      </w:r>
      <w:r>
        <w:t xml:space="preserve"> </w:t>
      </w:r>
      <w:r>
        <w:t xml:space="preserve">[Reference Section 3 for role-based contacts. Do not embed personal phone numbers in the body of the plan; maintain a separately controlled contact roster that is updated independently of plan revisions.]</w:t>
      </w:r>
    </w:p>
    <w:bookmarkEnd w:id="24"/>
    <w:bookmarkStart w:id="25" w:name="section-3-roles-and-responsibilities"/>
    <w:p>
      <w:pPr>
        <w:pStyle w:val="Heading3"/>
      </w:pPr>
      <w:r>
        <w:t xml:space="preserve">Section 3: Roles and Responsibilities</w:t>
      </w:r>
    </w:p>
    <w:p>
      <w:pPr>
        <w:pStyle w:val="FirstParagraph"/>
      </w:pPr>
      <w:r>
        <w:rPr>
          <w:b/>
          <w:bCs/>
        </w:rPr>
        <w:t xml:space="preserve">3.1 Contingency Plan Coordinator (CPC).</w:t>
      </w:r>
      <w:r>
        <w:t xml:space="preserve"> </w:t>
      </w:r>
      <w:r>
        <w:t xml:space="preserve">The CPC is the single individual with authority to declare plan activation, direct recovery team resources, communicate with executive management, and declare plan deactivation upon successful reconstitution. The CPC is typically the IT Manager or Deputy CIO. Alternate: [named alternate with same authority when primary CPC is unavailable].</w:t>
      </w:r>
    </w:p>
    <w:p>
      <w:pPr>
        <w:pStyle w:val="BodyText"/>
      </w:pPr>
      <w:r>
        <w:t xml:space="preserve">Responsibilities:</w:t>
      </w:r>
      <w:r>
        <w:t xml:space="preserve"> </w:t>
      </w:r>
      <w:r>
        <w:t xml:space="preserve">- Evaluate triggering events against activation thresholds</w:t>
      </w:r>
      <w:r>
        <w:t xml:space="preserve"> </w:t>
      </w:r>
      <w:r>
        <w:t xml:space="preserve">- Formally declare plan activation (verbal followed by documented declaration within two hours)</w:t>
      </w:r>
      <w:r>
        <w:t xml:space="preserve"> </w:t>
      </w:r>
      <w:r>
        <w:t xml:space="preserve">- Notify the Management Team and external stakeholders</w:t>
      </w:r>
      <w:r>
        <w:t xml:space="preserve"> </w:t>
      </w:r>
      <w:r>
        <w:t xml:space="preserve">- Coordinate across recovery team leads</w:t>
      </w:r>
      <w:r>
        <w:t xml:space="preserve"> </w:t>
      </w:r>
      <w:r>
        <w:t xml:space="preserve">- Authorize the transition from Recovery Phase to Reconstitution Phase</w:t>
      </w:r>
      <w:r>
        <w:t xml:space="preserve"> </w:t>
      </w:r>
      <w:r>
        <w:t xml:space="preserve">- Conduct After-Action Review and initiate plan update</w:t>
      </w:r>
    </w:p>
    <w:p>
      <w:pPr>
        <w:pStyle w:val="BodyText"/>
      </w:pPr>
      <w:r>
        <w:rPr>
          <w:b/>
          <w:bCs/>
        </w:rPr>
        <w:t xml:space="preserve">3.2 IT Recovery Team Leads.</w:t>
      </w:r>
    </w:p>
    <w:p>
      <w:pPr>
        <w:pStyle w:val="TableCaption"/>
      </w:pPr>
      <w:r>
        <w:t xml:space="preserve">IT Recovery Team Roles</w:t>
      </w:r>
    </w:p>
    <w:tbl>
      <w:tblPr>
        <w:tblStyle w:val="Table"/>
        <w:tblW w:type="pct" w:w="5000"/>
        <w:tblLayout w:type="fixed"/>
        <w:tblLook w:firstRow="1" w:lastRow="0" w:firstColumn="0" w:lastColumn="0" w:noHBand="0" w:noVBand="0" w:val="0020"/>
        <w:tblCaption w:val="IT Recovery Team Roles"/>
      </w:tblPr>
      <w:tblGrid>
        <w:gridCol w:w="2640"/>
        <w:gridCol w:w="2640"/>
        <w:gridCol w:w="2640"/>
      </w:tblGrid>
      <w:tr>
        <w:trPr>
          <w:tblHeader w:val="on"/>
        </w:trPr>
        <w:tc>
          <w:tcPr/>
          <w:p>
            <w:pPr>
              <w:pStyle w:val="Compact"/>
            </w:pPr>
            <w:r>
              <w:t xml:space="preserve">Role</w:t>
            </w:r>
          </w:p>
        </w:tc>
        <w:tc>
          <w:tcPr/>
          <w:p>
            <w:pPr>
              <w:pStyle w:val="Compact"/>
            </w:pPr>
            <w:r>
              <w:t xml:space="preserve">Responsibilities</w:t>
            </w:r>
          </w:p>
        </w:tc>
        <w:tc>
          <w:tcPr/>
          <w:p>
            <w:pPr>
              <w:pStyle w:val="Compact"/>
            </w:pPr>
            <w:r>
              <w:t xml:space="preserve">Backup</w:t>
            </w:r>
          </w:p>
        </w:tc>
      </w:tr>
      <w:tr>
        <w:tc>
          <w:tcPr/>
          <w:p>
            <w:pPr>
              <w:pStyle w:val="Compact"/>
            </w:pPr>
            <w:r>
              <w:t xml:space="preserve">Network Recovery Lead</w:t>
            </w:r>
          </w:p>
        </w:tc>
        <w:tc>
          <w:tcPr/>
          <w:p>
            <w:pPr>
              <w:pStyle w:val="Compact"/>
            </w:pPr>
            <w:r>
              <w:t xml:space="preserve">SD-WAN failover, DDI Grid failover, circuit coordination with carrier NOC</w:t>
            </w:r>
          </w:p>
        </w:tc>
        <w:tc>
          <w:tcPr/>
          <w:p>
            <w:pPr>
              <w:pStyle w:val="Compact"/>
            </w:pPr>
            <w:r>
              <w:t xml:space="preserve">[Alternate name]</w:t>
            </w:r>
          </w:p>
        </w:tc>
      </w:tr>
      <w:tr>
        <w:tc>
          <w:tcPr/>
          <w:p>
            <w:pPr>
              <w:pStyle w:val="Compact"/>
            </w:pPr>
            <w:r>
              <w:t xml:space="preserve">Database Recovery Lead</w:t>
            </w:r>
          </w:p>
        </w:tc>
        <w:tc>
          <w:tcPr/>
          <w:p>
            <w:pPr>
              <w:pStyle w:val="Compact"/>
            </w:pPr>
            <w:r>
              <w:t xml:space="preserve">SQL AG failover, data integrity validation, backup restoration if needed</w:t>
            </w:r>
          </w:p>
        </w:tc>
        <w:tc>
          <w:tcPr/>
          <w:p>
            <w:pPr>
              <w:pStyle w:val="Compact"/>
            </w:pPr>
            <w:r>
              <w:t xml:space="preserve">[Alternate name]</w:t>
            </w:r>
          </w:p>
        </w:tc>
      </w:tr>
      <w:tr>
        <w:tc>
          <w:tcPr/>
          <w:p>
            <w:pPr>
              <w:pStyle w:val="Compact"/>
            </w:pPr>
            <w:r>
              <w:t xml:space="preserve">Identity Recovery Lead</w:t>
            </w:r>
          </w:p>
        </w:tc>
        <w:tc>
          <w:tcPr/>
          <w:p>
            <w:pPr>
              <w:pStyle w:val="Compact"/>
            </w:pPr>
            <w:r>
              <w:t xml:space="preserve">Break-glass account activation, Conditional Access policy adjustment, Entra ID validation</w:t>
            </w:r>
          </w:p>
        </w:tc>
        <w:tc>
          <w:tcPr/>
          <w:p>
            <w:pPr>
              <w:pStyle w:val="Compact"/>
            </w:pPr>
            <w:r>
              <w:t xml:space="preserve">[Alternate name]</w:t>
            </w:r>
          </w:p>
        </w:tc>
      </w:tr>
      <w:tr>
        <w:tc>
          <w:tcPr/>
          <w:p>
            <w:pPr>
              <w:pStyle w:val="Compact"/>
            </w:pPr>
            <w:r>
              <w:t xml:space="preserve">Application Recovery Lead</w:t>
            </w:r>
          </w:p>
        </w:tc>
        <w:tc>
          <w:tcPr/>
          <w:p>
            <w:pPr>
              <w:pStyle w:val="Compact"/>
            </w:pPr>
            <w:r>
              <w:t xml:space="preserve">Failover of application tier to alternate region, DNS cutover validation</w:t>
            </w:r>
          </w:p>
        </w:tc>
        <w:tc>
          <w:tcPr/>
          <w:p>
            <w:pPr>
              <w:pStyle w:val="Compact"/>
            </w:pPr>
            <w:r>
              <w:t xml:space="preserve">[Alternate name]</w:t>
            </w:r>
          </w:p>
        </w:tc>
      </w:tr>
      <w:tr>
        <w:tc>
          <w:tcPr/>
          <w:p>
            <w:pPr>
              <w:pStyle w:val="Compact"/>
            </w:pPr>
            <w:r>
              <w:t xml:space="preserve">Security and Logging Lead</w:t>
            </w:r>
          </w:p>
        </w:tc>
        <w:tc>
          <w:tcPr/>
          <w:p>
            <w:pPr>
              <w:pStyle w:val="Compact"/>
            </w:pPr>
            <w:r>
              <w:t xml:space="preserve">Confirm audit logging continuity, validate Sentinel workspace in alternate region</w:t>
            </w:r>
          </w:p>
        </w:tc>
        <w:tc>
          <w:tcPr/>
          <w:p>
            <w:pPr>
              <w:pStyle w:val="Compact"/>
            </w:pPr>
            <w:r>
              <w:t xml:space="preserve">[Alternate name]</w:t>
            </w:r>
          </w:p>
        </w:tc>
      </w:tr>
    </w:tbl>
    <w:p>
      <w:pPr>
        <w:pStyle w:val="BodyText"/>
      </w:pPr>
      <w:r>
        <w:rPr>
          <w:b/>
          <w:bCs/>
        </w:rPr>
        <w:t xml:space="preserve">3.3 Management Team.</w:t>
      </w:r>
      <w:r>
        <w:t xml:space="preserve"> </w:t>
      </w:r>
      <w:r>
        <w:t xml:space="preserve">The Management Team (director level and above) is notified at plan activation. Their role is to authorize extended outage communications, approve any decision to invoke manual workaround procedures that affect public or partner agency operations, and receive status updates at defined intervals (every two hours during active recovery).</w:t>
      </w:r>
    </w:p>
    <w:p>
      <w:pPr>
        <w:pStyle w:val="BodyText"/>
      </w:pPr>
      <w:r>
        <w:rPr>
          <w:b/>
          <w:bCs/>
        </w:rPr>
        <w:t xml:space="preserve">3.4 Vendor and Service Provider Contacts.</w:t>
      </w:r>
    </w:p>
    <w:p>
      <w:pPr>
        <w:pStyle w:val="TableCaption"/>
      </w:pPr>
      <w:r>
        <w:t xml:space="preserve">Vendor Contact Directory</w:t>
      </w:r>
    </w:p>
    <w:tbl>
      <w:tblPr>
        <w:tblStyle w:val="Table"/>
        <w:tblW w:type="pct" w:w="5000"/>
        <w:tblLayout w:type="fixed"/>
        <w:tblLook w:firstRow="1" w:lastRow="0" w:firstColumn="0" w:lastColumn="0" w:noHBand="0" w:noVBand="0" w:val="0020"/>
        <w:tblCaption w:val="Vendor Contact Directory"/>
      </w:tblPr>
      <w:tblGrid>
        <w:gridCol w:w="1980"/>
        <w:gridCol w:w="1980"/>
        <w:gridCol w:w="1980"/>
        <w:gridCol w:w="1980"/>
      </w:tblGrid>
      <w:tr>
        <w:trPr>
          <w:tblHeader w:val="on"/>
        </w:trPr>
        <w:tc>
          <w:tcPr/>
          <w:p>
            <w:pPr>
              <w:pStyle w:val="Compact"/>
            </w:pPr>
            <w:r>
              <w:t xml:space="preserve">Vendor</w:t>
            </w:r>
          </w:p>
        </w:tc>
        <w:tc>
          <w:tcPr/>
          <w:p>
            <w:pPr>
              <w:pStyle w:val="Compact"/>
            </w:pPr>
            <w:r>
              <w:t xml:space="preserve">Service</w:t>
            </w:r>
          </w:p>
        </w:tc>
        <w:tc>
          <w:tcPr/>
          <w:p>
            <w:pPr>
              <w:pStyle w:val="Compact"/>
            </w:pPr>
            <w:r>
              <w:t xml:space="preserve">Contact Type</w:t>
            </w:r>
          </w:p>
        </w:tc>
        <w:tc>
          <w:tcPr/>
          <w:p>
            <w:pPr>
              <w:pStyle w:val="Compact"/>
            </w:pPr>
            <w:r>
              <w:t xml:space="preserve">Contact</w:t>
            </w:r>
          </w:p>
        </w:tc>
      </w:tr>
      <w:tr>
        <w:tc>
          <w:tcPr/>
          <w:p>
            <w:pPr>
              <w:pStyle w:val="Compact"/>
            </w:pPr>
            <w:r>
              <w:t xml:space="preserve">Cloud Service Provider</w:t>
            </w:r>
          </w:p>
        </w:tc>
        <w:tc>
          <w:tcPr/>
          <w:p>
            <w:pPr>
              <w:pStyle w:val="Compact"/>
            </w:pPr>
            <w:r>
              <w:t xml:space="preserve">Primary and alternate cloud regions</w:t>
            </w:r>
          </w:p>
        </w:tc>
        <w:tc>
          <w:tcPr/>
          <w:p>
            <w:pPr>
              <w:pStyle w:val="Compact"/>
            </w:pPr>
            <w:r>
              <w:t xml:space="preserve">NOC, Escalation</w:t>
            </w:r>
          </w:p>
        </w:tc>
        <w:tc>
          <w:tcPr/>
          <w:p>
            <w:pPr>
              <w:pStyle w:val="Compact"/>
            </w:pPr>
            <w:r>
              <w:t xml:space="preserve">[CSP support portal; P1 incident phone]</w:t>
            </w:r>
          </w:p>
        </w:tc>
      </w:tr>
      <w:tr>
        <w:tc>
          <w:tcPr/>
          <w:p>
            <w:pPr>
              <w:pStyle w:val="Compact"/>
            </w:pPr>
            <w:r>
              <w:t xml:space="preserve">SD-WAN Vendor</w:t>
            </w:r>
          </w:p>
        </w:tc>
        <w:tc>
          <w:tcPr/>
          <w:p>
            <w:pPr>
              <w:pStyle w:val="Compact"/>
            </w:pPr>
            <w:r>
              <w:t xml:space="preserve">Overlay fabric</w:t>
            </w:r>
          </w:p>
        </w:tc>
        <w:tc>
          <w:tcPr/>
          <w:p>
            <w:pPr>
              <w:pStyle w:val="Compact"/>
            </w:pPr>
            <w:r>
              <w:t xml:space="preserve">TAC</w:t>
            </w:r>
          </w:p>
        </w:tc>
        <w:tc>
          <w:tcPr/>
          <w:p>
            <w:pPr>
              <w:pStyle w:val="Compact"/>
            </w:pPr>
            <w:r>
              <w:t xml:space="preserve">[Case portal; TAC direct phone]</w:t>
            </w:r>
          </w:p>
        </w:tc>
      </w:tr>
      <w:tr>
        <w:tc>
          <w:tcPr/>
          <w:p>
            <w:pPr>
              <w:pStyle w:val="Compact"/>
            </w:pPr>
            <w:r>
              <w:t xml:space="preserve">Primary WAN Carrier</w:t>
            </w:r>
          </w:p>
        </w:tc>
        <w:tc>
          <w:tcPr/>
          <w:p>
            <w:pPr>
              <w:pStyle w:val="Compact"/>
            </w:pPr>
            <w:r>
              <w:t xml:space="preserve">MPLS circuit</w:t>
            </w:r>
          </w:p>
        </w:tc>
        <w:tc>
          <w:tcPr/>
          <w:p>
            <w:pPr>
              <w:pStyle w:val="Compact"/>
            </w:pPr>
            <w:r>
              <w:t xml:space="preserve">NOC</w:t>
            </w:r>
          </w:p>
        </w:tc>
        <w:tc>
          <w:tcPr/>
          <w:p>
            <w:pPr>
              <w:pStyle w:val="Compact"/>
            </w:pPr>
            <w:r>
              <w:t xml:space="preserve">[Circuit ID; NOC phone]</w:t>
            </w:r>
          </w:p>
        </w:tc>
      </w:tr>
      <w:tr>
        <w:tc>
          <w:tcPr/>
          <w:p>
            <w:pPr>
              <w:pStyle w:val="Compact"/>
            </w:pPr>
            <w:r>
              <w:t xml:space="preserve">Backup Internet Provider</w:t>
            </w:r>
          </w:p>
        </w:tc>
        <w:tc>
          <w:tcPr/>
          <w:p>
            <w:pPr>
              <w:pStyle w:val="Compact"/>
            </w:pPr>
            <w:r>
              <w:t xml:space="preserve">DIA circuit</w:t>
            </w:r>
          </w:p>
        </w:tc>
        <w:tc>
          <w:tcPr/>
          <w:p>
            <w:pPr>
              <w:pStyle w:val="Compact"/>
            </w:pPr>
            <w:r>
              <w:t xml:space="preserve">NOC</w:t>
            </w:r>
          </w:p>
        </w:tc>
        <w:tc>
          <w:tcPr/>
          <w:p>
            <w:pPr>
              <w:pStyle w:val="Compact"/>
            </w:pPr>
            <w:r>
              <w:t xml:space="preserve">[Circuit ID; NOC phone]</w:t>
            </w:r>
          </w:p>
        </w:tc>
      </w:tr>
      <w:tr>
        <w:tc>
          <w:tcPr/>
          <w:p>
            <w:pPr>
              <w:pStyle w:val="Compact"/>
            </w:pPr>
            <w:r>
              <w:t xml:space="preserve">DDI Platform Vendor</w:t>
            </w:r>
          </w:p>
        </w:tc>
        <w:tc>
          <w:tcPr/>
          <w:p>
            <w:pPr>
              <w:pStyle w:val="Compact"/>
            </w:pPr>
            <w:r>
              <w:t xml:space="preserve">Grid software</w:t>
            </w:r>
          </w:p>
        </w:tc>
        <w:tc>
          <w:tcPr/>
          <w:p>
            <w:pPr>
              <w:pStyle w:val="Compact"/>
            </w:pPr>
            <w:r>
              <w:t xml:space="preserve">Support</w:t>
            </w:r>
          </w:p>
        </w:tc>
        <w:tc>
          <w:tcPr/>
          <w:p>
            <w:pPr>
              <w:pStyle w:val="Compact"/>
            </w:pPr>
            <w:r>
              <w:t xml:space="preserve">[Case portal; critical support phone]</w:t>
            </w:r>
          </w:p>
        </w:tc>
      </w:tr>
    </w:tbl>
    <w:p>
      <w:pPr>
        <w:pStyle w:val="BodyText"/>
      </w:pPr>
      <w:r>
        <w:rPr>
          <w:b/>
          <w:bCs/>
        </w:rPr>
        <w:t xml:space="preserve">3.5 External Stakeholders.</w:t>
      </w:r>
      <w:r>
        <w:t xml:space="preserve"> </w:t>
      </w:r>
      <w:r>
        <w:t xml:space="preserve">Identify partner agencies with interconnection agreements, public-facing service users who must be notified during an outage, and oversight bodies (Inspector General, oversight committee) with reporting obligations. Notification timelines and templates are maintained in the notification tree (Appendix F).</w:t>
      </w:r>
    </w:p>
    <w:bookmarkEnd w:id="25"/>
    <w:bookmarkStart w:id="26" w:name="section-4-activation-and-notification"/>
    <w:p>
      <w:pPr>
        <w:pStyle w:val="Heading3"/>
      </w:pPr>
      <w:r>
        <w:t xml:space="preserve">Section 4: Activation and Notification</w:t>
      </w:r>
    </w:p>
    <w:p>
      <w:pPr>
        <w:pStyle w:val="FirstParagraph"/>
      </w:pPr>
      <w:r>
        <w:rPr>
          <w:b/>
          <w:bCs/>
        </w:rPr>
        <w:t xml:space="preserve">4.1 Activation Thresholds.</w:t>
      </w:r>
      <w:r>
        <w:t xml:space="preserve"> </w:t>
      </w:r>
      <w:r>
        <w:t xml:space="preserve">The Contingency Plan is activated when one or more of the following conditions is confirmed:</w:t>
      </w:r>
    </w:p>
    <w:p>
      <w:pPr>
        <w:pStyle w:val="Compact"/>
        <w:numPr>
          <w:ilvl w:val="0"/>
          <w:numId w:val="1007"/>
        </w:numPr>
      </w:pPr>
      <w:r>
        <w:t xml:space="preserve">An outage affecting Priority 1 or Priority 2 systems that has persisted or is projected to persist beyond 30 minutes without a clear resolution path</w:t>
      </w:r>
    </w:p>
    <w:p>
      <w:pPr>
        <w:pStyle w:val="Compact"/>
        <w:numPr>
          <w:ilvl w:val="0"/>
          <w:numId w:val="1007"/>
        </w:numPr>
      </w:pPr>
      <w:r>
        <w:t xml:space="preserve">A security incident that has caused or is likely to cause data destruction, ransomware encryption of production systems, or loss of availability of authentication infrastructure</w:t>
      </w:r>
    </w:p>
    <w:p>
      <w:pPr>
        <w:pStyle w:val="Compact"/>
        <w:numPr>
          <w:ilvl w:val="0"/>
          <w:numId w:val="1007"/>
        </w:numPr>
      </w:pPr>
      <w:r>
        <w:t xml:space="preserve">A physical facility event (fire, flood, loss of power without generator restoration within one hour) affecting the primary data center or primary cloud region</w:t>
      </w:r>
    </w:p>
    <w:p>
      <w:pPr>
        <w:pStyle w:val="Compact"/>
        <w:numPr>
          <w:ilvl w:val="0"/>
          <w:numId w:val="1007"/>
        </w:numPr>
      </w:pPr>
      <w:r>
        <w:t xml:space="preserve">A declaration by the Cloud Service Provider of a regional outage affecting availability zone redundancy</w:t>
      </w:r>
    </w:p>
    <w:p>
      <w:pPr>
        <w:pStyle w:val="Compact"/>
        <w:numPr>
          <w:ilvl w:val="0"/>
          <w:numId w:val="1007"/>
        </w:numPr>
      </w:pPr>
      <w:r>
        <w:t xml:space="preserve">Direction from the agency COOP to activate IT contingency procedures</w:t>
      </w:r>
    </w:p>
    <w:p>
      <w:pPr>
        <w:pStyle w:val="FirstParagraph"/>
      </w:pPr>
      <w:r>
        <w:rPr>
          <w:b/>
          <w:bCs/>
        </w:rPr>
        <w:t xml:space="preserve">4.2 Activation Decision Authority.</w:t>
      </w:r>
      <w:r>
        <w:t xml:space="preserve"> </w:t>
      </w:r>
      <w:r>
        <w:t xml:space="preserve">The CPC has authority to activate the plan. In the absence of the CPC, the designated alternate CPC has equal authority. The Management Team is notified concurrently with activation; they do not need to approve activation.</w:t>
      </w:r>
    </w:p>
    <w:p>
      <w:pPr>
        <w:pStyle w:val="BodyText"/>
      </w:pPr>
      <w:r>
        <w:rPr>
          <w:b/>
          <w:bCs/>
        </w:rPr>
        <w:t xml:space="preserve">4.3 Notification Procedure.</w:t>
      </w:r>
    </w:p>
    <w:p>
      <w:pPr>
        <w:pStyle w:val="BodyText"/>
      </w:pPr>
      <w:r>
        <w:t xml:space="preserve">Step 1 (0–15 minutes post-decision): CPC declares activation verbally and notifies all IT Recovery Team Leads simultaneously via the agency emergency notification system. If the emergency notification system is unavailable, use the out-of-band contact roster (stored offline in the CPC’s secure binder and as an encrypted file in the alternate Key Vault described in Section 5).</w:t>
      </w:r>
    </w:p>
    <w:p>
      <w:pPr>
        <w:pStyle w:val="BodyText"/>
      </w:pPr>
      <w:r>
        <w:t xml:space="preserve">Step 2 (15–30 minutes): IT Recovery Team Leads confirm receipt and report to their designated recovery stations (physical or remote). Each lead does a 60-second status check: Is my team available? Do I have access to recovery procedures? Do I have access to necessary credentials? The Network Recovery Lead reports first because all subsequent work depends on network availability.</w:t>
      </w:r>
    </w:p>
    <w:p>
      <w:pPr>
        <w:pStyle w:val="BodyText"/>
      </w:pPr>
      <w:r>
        <w:t xml:space="preserve">Step 3 (30–60 minutes): CPC notifies Management Team with initial situation report: what failed, when, what the impact is, what the projected recovery timeline is, and what decisions (if any) are needed from management immediately.</w:t>
      </w:r>
    </w:p>
    <w:p>
      <w:pPr>
        <w:pStyle w:val="BodyText"/>
      </w:pPr>
      <w:r>
        <w:t xml:space="preserve">Step 4 (60 minutes and every 2 hours thereafter): CPC issues status updates to Management Team. Format: [Systems recovered], [Systems still recovering], [Projected completion], [Issues blocking recovery], [Decisions needed].</w:t>
      </w:r>
    </w:p>
    <w:p>
      <w:pPr>
        <w:pStyle w:val="BodyText"/>
      </w:pPr>
      <w:r>
        <w:t xml:space="preserve">Step 5 (as applicable): If the outage affects public-facing services or partner agency connections, the Management Team authorizes external notification. External notification templates are in Appendix F.</w:t>
      </w:r>
    </w:p>
    <w:p>
      <w:pPr>
        <w:pStyle w:val="BodyText"/>
      </w:pPr>
      <w:r>
        <w:rPr>
          <w:b/>
          <w:bCs/>
        </w:rPr>
        <w:t xml:space="preserve">4.4 Escalation.</w:t>
      </w:r>
      <w:r>
        <w:t xml:space="preserve"> </w:t>
      </w:r>
      <w:r>
        <w:t xml:space="preserve">If recovery is not on track to meet the MTD for any Priority 1 or Priority 2 system, the CPC escalates to the CIO or acting CIO. If the outage is the result of a security incident, the ISSO notifies the agency CISO and, if required by the incident response plan, CISA within the required reporting window.</w:t>
      </w:r>
    </w:p>
    <w:bookmarkEnd w:id="26"/>
    <w:bookmarkStart w:id="27" w:name="section-5-recovery-procedures"/>
    <w:p>
      <w:pPr>
        <w:pStyle w:val="Heading3"/>
      </w:pPr>
      <w:r>
        <w:t xml:space="preserve">Section 5: Recovery Procedures</w:t>
      </w:r>
    </w:p>
    <w:p>
      <w:pPr>
        <w:pStyle w:val="FirstParagraph"/>
      </w:pPr>
      <w:r>
        <w:rPr>
          <w:b/>
          <w:bCs/>
        </w:rPr>
        <w:t xml:space="preserve">5.1 Structure.</w:t>
      </w:r>
      <w:r>
        <w:t xml:space="preserve"> </w:t>
      </w:r>
      <w:r>
        <w:t xml:space="preserve">Recovery procedures are organized by system component in the order of recovery priority established in Section 2.2. Each component procedure is maintained as an appendix to this plan. The appendices contain the runbooks developed and tested by the IT Recovery Teams; this section provides the summary of each procedure, the acceptance criteria that must be met before the component is declared recovered, and the estimated time to complete recovery.</w:t>
      </w:r>
    </w:p>
    <w:bookmarkEnd w:id="27"/>
    <w:bookmarkEnd w:id="28"/>
    <w:bookmarkStart w:id="29" w:name="appendix-cross-references"/>
    <w:p>
      <w:pPr>
        <w:pStyle w:val="Heading2"/>
      </w:pPr>
      <w:r>
        <w:t xml:space="preserve">Appendix Cross-References</w:t>
      </w:r>
    </w:p>
    <w:p>
      <w:pPr>
        <w:pStyle w:val="FirstParagraph"/>
      </w:pPr>
      <w:r>
        <w:t xml:space="preserve">Appendix A — Network Recovery Procedures (SD-WAN failover and DDI Grid failover; derived from the runbooks in Vol I Book 01 and Vol I Book 06 of this series)</w:t>
      </w:r>
    </w:p>
    <w:p>
      <w:pPr>
        <w:pStyle w:val="BodyText"/>
      </w:pPr>
      <w:r>
        <w:t xml:space="preserve">Appendix B — Database Recovery Procedures (SQL AG failover and point-in-time restore; derived from the runbooks in Vol II Book 02 and Vol II Book 03 of this series)</w:t>
      </w:r>
    </w:p>
    <w:p>
      <w:pPr>
        <w:pStyle w:val="BodyText"/>
      </w:pPr>
      <w:r>
        <w:t xml:space="preserve">Appendix C — Identity Recovery Procedures (break-glass account activation and Conditional Access adjustment; derived from Vol I Book 03 and Vol III Book 01 of this series)</w:t>
      </w:r>
    </w:p>
    <w:p>
      <w:pPr>
        <w:pStyle w:val="BodyText"/>
      </w:pPr>
      <w:r>
        <w:t xml:space="preserve">Appendix D — Application and Cloud Service Recovery Procedures (application tier failover to secondary region)</w:t>
      </w:r>
    </w:p>
    <w:p>
      <w:pPr>
        <w:pStyle w:val="BodyText"/>
      </w:pPr>
      <w:r>
        <w:t xml:space="preserve">Appendix E — Audit Logging Recovery Procedures (Sentinel workspace validation and log analytics continuity; derived from Vol III Book 06 of this series)</w:t>
      </w:r>
    </w:p>
    <w:p>
      <w:pPr>
        <w:pStyle w:val="BodyText"/>
      </w:pPr>
      <w:r>
        <w:t xml:space="preserve">Appendix F — Notification Templates and External Stakeholder Contact Roster</w:t>
      </w:r>
    </w:p>
    <w:bookmarkEnd w:id="29"/>
    <w:p>
      <w:pPr>
        <w:pStyle w:val="BodyText"/>
      </w:pPr>
      <w:r>
        <w:rPr>
          <w:b/>
          <w:bCs/>
        </w:rPr>
        <w:t xml:space="preserve">5.2 Component Recovery Summary.</w:t>
      </w:r>
    </w:p>
    <w:p>
      <w:pPr>
        <w:pStyle w:val="TableCaption"/>
      </w:pPr>
      <w:r>
        <w:t xml:space="preserve">Component Recovery Summary</w:t>
      </w:r>
    </w:p>
    <w:tbl>
      <w:tblPr>
        <w:tblStyle w:val="Table"/>
        <w:tblW w:type="pct" w:w="5000"/>
        <w:tblLayout w:type="fixed"/>
        <w:tblLook w:firstRow="1" w:lastRow="0" w:firstColumn="0" w:lastColumn="0" w:noHBand="0" w:noVBand="0" w:val="0020"/>
        <w:tblCaption w:val="Component Recovery Summary"/>
      </w:tblPr>
      <w:tblGrid>
        <w:gridCol w:w="1980"/>
        <w:gridCol w:w="1980"/>
        <w:gridCol w:w="1980"/>
        <w:gridCol w:w="1980"/>
      </w:tblGrid>
      <w:tr>
        <w:trPr>
          <w:tblHeader w:val="on"/>
        </w:trPr>
        <w:tc>
          <w:tcPr/>
          <w:p>
            <w:pPr>
              <w:pStyle w:val="Compact"/>
            </w:pPr>
            <w:r>
              <w:t xml:space="preserve">Component</w:t>
            </w:r>
          </w:p>
        </w:tc>
        <w:tc>
          <w:tcPr/>
          <w:p>
            <w:pPr>
              <w:pStyle w:val="Compact"/>
            </w:pPr>
            <w:r>
              <w:t xml:space="preserve">Appendix</w:t>
            </w:r>
          </w:p>
        </w:tc>
        <w:tc>
          <w:tcPr/>
          <w:p>
            <w:pPr>
              <w:pStyle w:val="Compact"/>
            </w:pPr>
            <w:r>
              <w:t xml:space="preserve">Estimated Duration</w:t>
            </w:r>
          </w:p>
        </w:tc>
        <w:tc>
          <w:tcPr/>
          <w:p>
            <w:pPr>
              <w:pStyle w:val="Compact"/>
            </w:pPr>
            <w:r>
              <w:t xml:space="preserve">Acceptance Criteria</w:t>
            </w:r>
          </w:p>
        </w:tc>
      </w:tr>
      <w:tr>
        <w:tc>
          <w:tcPr/>
          <w:p>
            <w:pPr>
              <w:pStyle w:val="Compact"/>
            </w:pPr>
            <w:r>
              <w:t xml:space="preserve">SD-WAN automatic circuit failover</w:t>
            </w:r>
          </w:p>
        </w:tc>
        <w:tc>
          <w:tcPr/>
          <w:p>
            <w:pPr>
              <w:pStyle w:val="Compact"/>
            </w:pPr>
            <w:r>
              <w:t xml:space="preserve">A-1</w:t>
            </w:r>
          </w:p>
        </w:tc>
        <w:tc>
          <w:tcPr/>
          <w:p>
            <w:pPr>
              <w:pStyle w:val="Compact"/>
            </w:pPr>
            <w:r>
              <w:t xml:space="preserve">3–5 minutes (automatic)</w:t>
            </w:r>
          </w:p>
        </w:tc>
        <w:tc>
          <w:tcPr/>
          <w:p>
            <w:pPr>
              <w:pStyle w:val="Compact"/>
            </w:pPr>
            <w:r>
              <w:t xml:space="preserve">All spoke sites show active BGP via backup DIA; no packet loss for 60 seconds</w:t>
            </w:r>
          </w:p>
        </w:tc>
      </w:tr>
      <w:tr>
        <w:tc>
          <w:tcPr/>
          <w:p>
            <w:pPr>
              <w:pStyle w:val="Compact"/>
            </w:pPr>
            <w:r>
              <w:t xml:space="preserve">DDI Grid failover to alternate Grid member</w:t>
            </w:r>
          </w:p>
        </w:tc>
        <w:tc>
          <w:tcPr/>
          <w:p>
            <w:pPr>
              <w:pStyle w:val="Compact"/>
            </w:pPr>
            <w:r>
              <w:t xml:space="preserve">A-2</w:t>
            </w:r>
          </w:p>
        </w:tc>
        <w:tc>
          <w:tcPr/>
          <w:p>
            <w:pPr>
              <w:pStyle w:val="Compact"/>
            </w:pPr>
            <w:r>
              <w:t xml:space="preserve">15–30 minutes</w:t>
            </w:r>
          </w:p>
        </w:tc>
        <w:tc>
          <w:tcPr/>
          <w:p>
            <w:pPr>
              <w:pStyle w:val="Compact"/>
            </w:pPr>
            <w:r>
              <w:t xml:space="preserve">DNS resolution functional from all sites; DHCP leases active; IPAM data current</w:t>
            </w:r>
          </w:p>
        </w:tc>
      </w:tr>
      <w:tr>
        <w:tc>
          <w:tcPr/>
          <w:p>
            <w:pPr>
              <w:pStyle w:val="Compact"/>
            </w:pPr>
            <w:r>
              <w:t xml:space="preserve">Break-glass identity access</w:t>
            </w:r>
          </w:p>
        </w:tc>
        <w:tc>
          <w:tcPr/>
          <w:p>
            <w:pPr>
              <w:pStyle w:val="Compact"/>
            </w:pPr>
            <w:r>
              <w:t xml:space="preserve">C-1</w:t>
            </w:r>
          </w:p>
        </w:tc>
        <w:tc>
          <w:tcPr/>
          <w:p>
            <w:pPr>
              <w:pStyle w:val="Compact"/>
            </w:pPr>
            <w:r>
              <w:t xml:space="preserve">5 minutes</w:t>
            </w:r>
          </w:p>
        </w:tc>
        <w:tc>
          <w:tcPr/>
          <w:p>
            <w:pPr>
              <w:pStyle w:val="Compact"/>
            </w:pPr>
            <w:r>
              <w:t xml:space="preserve">Break-glass accounts authenticate successfully; MFA bypass documented</w:t>
            </w:r>
          </w:p>
        </w:tc>
      </w:tr>
      <w:tr>
        <w:tc>
          <w:tcPr/>
          <w:p>
            <w:pPr>
              <w:pStyle w:val="Compact"/>
            </w:pPr>
            <w:r>
              <w:t xml:space="preserve">SQL AG failover (synchronous replica)</w:t>
            </w:r>
          </w:p>
        </w:tc>
        <w:tc>
          <w:tcPr/>
          <w:p>
            <w:pPr>
              <w:pStyle w:val="Compact"/>
            </w:pPr>
            <w:r>
              <w:t xml:space="preserve">B-1</w:t>
            </w:r>
          </w:p>
        </w:tc>
        <w:tc>
          <w:tcPr/>
          <w:p>
            <w:pPr>
              <w:pStyle w:val="Compact"/>
            </w:pPr>
            <w:r>
              <w:t xml:space="preserve">5–15 minutes</w:t>
            </w:r>
          </w:p>
        </w:tc>
        <w:tc>
          <w:tcPr/>
          <w:p>
            <w:pPr>
              <w:pStyle w:val="Compact"/>
            </w:pPr>
            <w:r>
              <w:t xml:space="preserve">Secondary replica promoted; application connection string updated; read/write functional</w:t>
            </w:r>
          </w:p>
        </w:tc>
      </w:tr>
      <w:tr>
        <w:tc>
          <w:tcPr/>
          <w:p>
            <w:pPr>
              <w:pStyle w:val="Compact"/>
            </w:pPr>
            <w:r>
              <w:t xml:space="preserve">SQL AG failover (async DR replica, RPO applies)</w:t>
            </w:r>
          </w:p>
        </w:tc>
        <w:tc>
          <w:tcPr/>
          <w:p>
            <w:pPr>
              <w:pStyle w:val="Compact"/>
            </w:pPr>
            <w:r>
              <w:t xml:space="preserve">B-2</w:t>
            </w:r>
          </w:p>
        </w:tc>
        <w:tc>
          <w:tcPr/>
          <w:p>
            <w:pPr>
              <w:pStyle w:val="Compact"/>
            </w:pPr>
            <w:r>
              <w:t xml:space="preserve">30–60 minutes</w:t>
            </w:r>
          </w:p>
        </w:tc>
        <w:tc>
          <w:tcPr/>
          <w:p>
            <w:pPr>
              <w:pStyle w:val="Compact"/>
            </w:pPr>
            <w:r>
              <w:t xml:space="preserve">DR replica promoted; data integrity check complete; missing transactions identified and logged</w:t>
            </w:r>
          </w:p>
        </w:tc>
      </w:tr>
      <w:tr>
        <w:tc>
          <w:tcPr/>
          <w:p>
            <w:pPr>
              <w:pStyle w:val="Compact"/>
            </w:pPr>
            <w:r>
              <w:t xml:space="preserve">Application tier failover to secondary region</w:t>
            </w:r>
          </w:p>
        </w:tc>
        <w:tc>
          <w:tcPr/>
          <w:p>
            <w:pPr>
              <w:pStyle w:val="Compact"/>
            </w:pPr>
            <w:r>
              <w:t xml:space="preserve">D-1</w:t>
            </w:r>
          </w:p>
        </w:tc>
        <w:tc>
          <w:tcPr/>
          <w:p>
            <w:pPr>
              <w:pStyle w:val="Compact"/>
            </w:pPr>
            <w:r>
              <w:t xml:space="preserve">30–60 minutes</w:t>
            </w:r>
          </w:p>
        </w:tc>
        <w:tc>
          <w:tcPr/>
          <w:p>
            <w:pPr>
              <w:pStyle w:val="Compact"/>
            </w:pPr>
            <w:r>
              <w:t xml:space="preserve">Application health checks pass in secondary region; DNS A records updated; user sessions functional</w:t>
            </w:r>
          </w:p>
        </w:tc>
      </w:tr>
      <w:tr>
        <w:tc>
          <w:tcPr/>
          <w:p>
            <w:pPr>
              <w:pStyle w:val="Compact"/>
            </w:pPr>
            <w:r>
              <w:t xml:space="preserve">Audit logging validation</w:t>
            </w:r>
          </w:p>
        </w:tc>
        <w:tc>
          <w:tcPr/>
          <w:p>
            <w:pPr>
              <w:pStyle w:val="Compact"/>
            </w:pPr>
            <w:r>
              <w:t xml:space="preserve">E-1</w:t>
            </w:r>
          </w:p>
        </w:tc>
        <w:tc>
          <w:tcPr/>
          <w:p>
            <w:pPr>
              <w:pStyle w:val="Compact"/>
            </w:pPr>
            <w:r>
              <w:t xml:space="preserve">30 minutes</w:t>
            </w:r>
          </w:p>
        </w:tc>
        <w:tc>
          <w:tcPr/>
          <w:p>
            <w:pPr>
              <w:pStyle w:val="Compact"/>
            </w:pPr>
            <w:r>
              <w:t xml:space="preserve">Sentinel workspace receiving events; no gaps in log ingestion longer than RPO threshold</w:t>
            </w:r>
          </w:p>
        </w:tc>
      </w:tr>
    </w:tbl>
    <w:p>
      <w:pPr>
        <w:pStyle w:val="BodyText"/>
      </w:pPr>
      <w:r>
        <w:rPr>
          <w:b/>
          <w:bCs/>
        </w:rPr>
        <w:t xml:space="preserve">5.3 Manual Workaround Procedures.</w:t>
      </w:r>
      <w:r>
        <w:t xml:space="preserve"> </w:t>
      </w:r>
      <w:r>
        <w:t xml:space="preserve">For each Priority 1 system, document the manual procedure that staff can execute if technical recovery extends beyond the RTO. For the emergency contact center: activate the designated backup PSTN lines, brief supervisors on manual call-tracking using the paper-based backup form (stored at each supervisor station), and notify the public-facing status page of reduced capacity. Manual workaround authorization is the CPC’s decision; it does not replace technical recovery, which continues in parallel.</w:t>
      </w:r>
    </w:p>
    <w:bookmarkStart w:id="30" w:name="section-6-reconstitution"/>
    <w:p>
      <w:pPr>
        <w:pStyle w:val="Heading3"/>
      </w:pPr>
      <w:r>
        <w:t xml:space="preserve">Section 6: Reconstitution</w:t>
      </w:r>
    </w:p>
    <w:p>
      <w:pPr>
        <w:pStyle w:val="FirstParagraph"/>
      </w:pPr>
      <w:r>
        <w:rPr>
          <w:b/>
          <w:bCs/>
        </w:rPr>
        <w:t xml:space="preserve">6.1 Reconstitution Decision.</w:t>
      </w:r>
      <w:r>
        <w:t xml:space="preserve"> </w:t>
      </w:r>
      <w:r>
        <w:t xml:space="preserve">The CPC authorizes transition to the Reconstitution Phase when all Priority 1 through Priority 4 systems have met their acceptance criteria and have been operational in the recovery environment for at least one hour without incident. Priority 5 through 7 systems may still be in recovery when reconstitution of Priority 1–4 systems begins.</w:t>
      </w:r>
    </w:p>
    <w:p>
      <w:pPr>
        <w:pStyle w:val="BodyText"/>
      </w:pPr>
      <w:r>
        <w:rPr>
          <w:b/>
          <w:bCs/>
        </w:rPr>
        <w:t xml:space="preserve">6.2 Return to Primary Site.</w:t>
      </w:r>
      <w:r>
        <w:t xml:space="preserve"> </w:t>
      </w:r>
      <w:r>
        <w:t xml:space="preserve">Reconstitution to the primary site follows the reverse of the recovery sequence: applications are failed back after DNS, network, database, and identity are confirmed stable at the primary site. Failback procedures for each component are documented in the corresponding appendix (labeled as -R sections: Appendix A-1-R for SD-WAN failback, Appendix B-1-R for SQL AG failback, and so forth).</w:t>
      </w:r>
    </w:p>
    <w:p>
      <w:pPr>
        <w:pStyle w:val="BodyText"/>
      </w:pPr>
      <w:r>
        <w:rPr>
          <w:b/>
          <w:bCs/>
        </w:rPr>
        <w:t xml:space="preserve">6.2.1 Data Synchronization Before Failback.</w:t>
      </w:r>
      <w:r>
        <w:t xml:space="preserve"> </w:t>
      </w:r>
      <w:r>
        <w:t xml:space="preserve">Before failing back the SQL primary, verify that all transactions written to the DR replica during the contingency period have been replicated to the primary. If the primary site is being restored from backup (rather than being resynchronized from a live replica), execute a data integrity reconciliation to identify any transactions written to the DR replica that are not present in the restored primary, and apply them manually or via the procedure in Appendix B-3.</w:t>
      </w:r>
    </w:p>
    <w:p>
      <w:pPr>
        <w:pStyle w:val="BodyText"/>
      </w:pPr>
      <w:r>
        <w:rPr>
          <w:b/>
          <w:bCs/>
        </w:rPr>
        <w:t xml:space="preserve">6.3 Validation.</w:t>
      </w:r>
      <w:r>
        <w:t xml:space="preserve"> </w:t>
      </w:r>
      <w:r>
        <w:t xml:space="preserve">After reconstitution, each Recovery Team Lead executes a validation checklist confirming that:</w:t>
      </w:r>
      <w:r>
        <w:t xml:space="preserve"> </w:t>
      </w:r>
      <w:r>
        <w:t xml:space="preserve">- All services are running at normal capacity on primary infrastructure</w:t>
      </w:r>
      <w:r>
        <w:t xml:space="preserve"> </w:t>
      </w:r>
      <w:r>
        <w:t xml:space="preserve">- Data integrity checks are complete and no unexplained gaps exist</w:t>
      </w:r>
      <w:r>
        <w:t xml:space="preserve"> </w:t>
      </w:r>
      <w:r>
        <w:t xml:space="preserve">- Audit logging has resumed on primary infrastructure with no gap</w:t>
      </w:r>
      <w:r>
        <w:t xml:space="preserve"> </w:t>
      </w:r>
      <w:r>
        <w:t xml:space="preserve">- All temporary workarounds (manual call-tracking, break-glass accounts, Conditional Access policy adjustments) have been reversed</w:t>
      </w:r>
      <w:r>
        <w:t xml:space="preserve"> </w:t>
      </w:r>
      <w:r>
        <w:t xml:space="preserve">- Monitoring and alerting thresholds are reset to normal baselines</w:t>
      </w:r>
    </w:p>
    <w:p>
      <w:pPr>
        <w:pStyle w:val="BodyText"/>
      </w:pPr>
      <w:r>
        <w:rPr>
          <w:b/>
          <w:bCs/>
        </w:rPr>
        <w:t xml:space="preserve">6.4 Deactivation.</w:t>
      </w:r>
      <w:r>
        <w:t xml:space="preserve"> </w:t>
      </w:r>
      <w:r>
        <w:t xml:space="preserve">The CPC formally declares the plan deactivated in writing (email with date/time stamp, addressed to the Management Team and all Recovery Team Leads). The deactivation notice includes a summary of the event timeline, which systems were recovered and when, and the scheduled date for the After-Action Review.</w:t>
      </w:r>
    </w:p>
    <w:p>
      <w:pPr>
        <w:pStyle w:val="BodyText"/>
      </w:pPr>
      <w:r>
        <w:rPr>
          <w:b/>
          <w:bCs/>
        </w:rPr>
        <w:t xml:space="preserve">6.5 After-Action Review.</w:t>
      </w:r>
      <w:r>
        <w:t xml:space="preserve"> </w:t>
      </w:r>
      <w:r>
        <w:t xml:space="preserve">The After-Action Review (AAR) is conducted within five business days of plan deactivation. It produces an AAR report (template in Appendix G) covering: what worked, what did not, what would have been done differently, and specific plan updates required. Plan updates are completed within 30 days of the AAR.</w:t>
      </w:r>
    </w:p>
    <w:bookmarkEnd w:id="30"/>
    <w:bookmarkStart w:id="31" w:name="section-7-plan-maintenance"/>
    <w:p>
      <w:pPr>
        <w:pStyle w:val="Heading3"/>
      </w:pPr>
      <w:r>
        <w:t xml:space="preserve">Section 7: Plan Maintenance</w:t>
      </w:r>
    </w:p>
    <w:p>
      <w:pPr>
        <w:pStyle w:val="FirstParagraph"/>
      </w:pPr>
      <w:r>
        <w:rPr>
          <w:b/>
          <w:bCs/>
        </w:rPr>
        <w:t xml:space="preserve">7.1 Review Cycle.</w:t>
      </w:r>
      <w:r>
        <w:t xml:space="preserve"> </w:t>
      </w:r>
      <w:r>
        <w:t xml:space="preserve">The Contingency Plan is reviewed and updated annually, or following any of these triggering events:</w:t>
      </w:r>
      <w:r>
        <w:t xml:space="preserve"> </w:t>
      </w:r>
      <w:r>
        <w:t xml:space="preserve">- A contingency event that results in plan activation</w:t>
      </w:r>
      <w:r>
        <w:t xml:space="preserve"> </w:t>
      </w:r>
      <w:r>
        <w:t xml:space="preserve">- A contingency plan test that reveals significant gaps</w:t>
      </w:r>
      <w:r>
        <w:t xml:space="preserve"> </w:t>
      </w:r>
      <w:r>
        <w:t xml:space="preserve">- A material change to any system covered by the plan (new application, architecture change, change in service provider, change in WAN topology)</w:t>
      </w:r>
      <w:r>
        <w:t xml:space="preserve"> </w:t>
      </w:r>
      <w:r>
        <w:t xml:space="preserve">- A change in recovery team personnel or organizational structure</w:t>
      </w:r>
      <w:r>
        <w:t xml:space="preserve"> </w:t>
      </w:r>
      <w:r>
        <w:t xml:space="preserve">- A change in applicable law, regulation, or agency policy</w:t>
      </w:r>
    </w:p>
    <w:p>
      <w:pPr>
        <w:pStyle w:val="BodyText"/>
      </w:pPr>
      <w:r>
        <w:rPr>
          <w:b/>
          <w:bCs/>
        </w:rPr>
        <w:t xml:space="preserve">7.2 Update Responsibility.</w:t>
      </w:r>
      <w:r>
        <w:t xml:space="preserve"> </w:t>
      </w:r>
      <w:r>
        <w:t xml:space="preserve">The ISSO owns the annual review process. Recovery Team Leads are responsible for keeping their corresponding appendices current. The mission owners are responsible for re-validating BIA values annually.</w:t>
      </w:r>
    </w:p>
    <w:p>
      <w:pPr>
        <w:pStyle w:val="BodyText"/>
      </w:pPr>
      <w:r>
        <w:rPr>
          <w:b/>
          <w:bCs/>
        </w:rPr>
        <w:t xml:space="preserve">7.3 Distribution.</w:t>
      </w:r>
      <w:r>
        <w:t xml:space="preserve"> </w:t>
      </w:r>
      <w:r>
        <w:t xml:space="preserve">The current plan version is maintained in the document management system. A printed copy is maintained in the CPC’s secure binder and at the alternate site. All Recovery Team Leads receive notification when a new version is published.</w:t>
      </w:r>
    </w:p>
    <w:bookmarkEnd w:id="31"/>
    <w:bookmarkStart w:id="37" w:name="alternate-storage-site-cp-6"/>
    <w:p>
      <w:pPr>
        <w:pStyle w:val="Heading2"/>
      </w:pPr>
      <w:r>
        <w:t xml:space="preserve">Alternate Storage Site (CP-6)</w:t>
      </w:r>
    </w:p>
    <w:bookmarkStart w:id="32" w:name="what-cp-6-requires"/>
    <w:p>
      <w:pPr>
        <w:pStyle w:val="Heading3"/>
      </w:pPr>
      <w:r>
        <w:t xml:space="preserve">What CP-6 Requires</w:t>
      </w:r>
    </w:p>
    <w:p>
      <w:pPr>
        <w:pStyle w:val="FirstParagraph"/>
      </w:pPr>
      <w:r>
        <w:t xml:space="preserve">CP-6 requires the organization to establish an alternate storage site that includes backup copies of information sufficient to support recovery operations, and that is geographically separated from the primary site to reduce the likelihood that a single event (natural disaster, regional power failure, physical attack) affects both simultaneously.</w:t>
      </w:r>
    </w:p>
    <w:p>
      <w:pPr>
        <w:pStyle w:val="BodyText"/>
      </w:pPr>
      <w:r>
        <w:t xml:space="preserve">The geo-replicated database architecture from Vol II Book 03 addresses the structured data component of CP-6. The async replica in the secondary cloud region receives continuous transaction log shipping and can be promoted to primary within 30–60 minutes. For CP-6 purposes, this constitutes an alternate storage site for the database tier. However, CP-6 covers more than the database.</w:t>
      </w:r>
    </w:p>
    <w:bookmarkEnd w:id="32"/>
    <w:bookmarkStart w:id="33" w:name="structured-data-database-tier"/>
    <w:p>
      <w:pPr>
        <w:pStyle w:val="Heading3"/>
      </w:pPr>
      <w:r>
        <w:t xml:space="preserve">Structured Data (Database Tier)</w:t>
      </w:r>
    </w:p>
    <w:p>
      <w:pPr>
        <w:pStyle w:val="FirstParagraph"/>
      </w:pPr>
      <w:r>
        <w:t xml:space="preserve">The SQL Server Always On Availability Group architecture from Vol II Book 02 and Vol II Book 03 provides continuous replication of database content to the DR replica in the secondary region. The RPO for structured data is bounded by the replication lag: for synchronous replicas (same metropolitan region), RPO approaches zero; for async replicas (cross-region), RPO reflects replication lag, which in normal network conditions is under 60 seconds and bounded by the configurable maximum replication lag setting.</w:t>
      </w:r>
    </w:p>
    <w:p>
      <w:pPr>
        <w:pStyle w:val="BodyText"/>
      </w:pPr>
      <w:r>
        <w:t xml:space="preserve">CP-6(1) requires separation from the primary site. The async DR replica must be in a different geographic region, not merely a different availability zone within the same region. Verify the region separation in the cloud console and document the physical distance and administrative separation in the CP-2.</w:t>
      </w:r>
    </w:p>
    <w:bookmarkEnd w:id="33"/>
    <w:bookmarkStart w:id="34" w:name="X556c172175f8298ccd6201f7a8defe33eff6fd1"/>
    <w:p>
      <w:pPr>
        <w:pStyle w:val="Heading3"/>
      </w:pPr>
      <w:r>
        <w:t xml:space="preserve">Unstructured Data (Files, Collaboration Content)</w:t>
      </w:r>
    </w:p>
    <w:p>
      <w:pPr>
        <w:pStyle w:val="FirstParagraph"/>
      </w:pPr>
      <w:r>
        <w:t xml:space="preserve">Unstructured data stored in cloud collaboration platforms (document management, shared file stores) must also be covered by an alternate storage arrangement. For Microsoft 365 Government Cloud tenants, multi-geo data residency configuration replicates content to a secondary geo location. Confirming CP-6 coverage for unstructured data requires:</w:t>
      </w:r>
    </w:p>
    <w:p>
      <w:pPr>
        <w:pStyle w:val="Compact"/>
        <w:numPr>
          <w:ilvl w:val="0"/>
          <w:numId w:val="1008"/>
        </w:numPr>
      </w:pPr>
      <w:r>
        <w:t xml:space="preserve">Verifying that multi-geo is enabled and that the secondary geo location is in a different region from the primary</w:t>
      </w:r>
    </w:p>
    <w:p>
      <w:pPr>
        <w:pStyle w:val="Compact"/>
        <w:numPr>
          <w:ilvl w:val="0"/>
          <w:numId w:val="1008"/>
        </w:numPr>
      </w:pPr>
      <w:r>
        <w:t xml:space="preserve">Documenting the replication frequency and any RPO limitations (Microsoft’s SLA defines the replication commitment)</w:t>
      </w:r>
    </w:p>
    <w:p>
      <w:pPr>
        <w:pStyle w:val="Compact"/>
        <w:numPr>
          <w:ilvl w:val="0"/>
          <w:numId w:val="1008"/>
        </w:numPr>
      </w:pPr>
      <w:r>
        <w:t xml:space="preserve">Including this verification in the annual CP-6 test</w:t>
      </w:r>
    </w:p>
    <w:bookmarkEnd w:id="34"/>
    <w:bookmarkStart w:id="35" w:name="X7de2cba187d3e667877e4e3f4e0c11a9b1f8e75"/>
    <w:p>
      <w:pPr>
        <w:pStyle w:val="Heading3"/>
      </w:pPr>
      <w:r>
        <w:t xml:space="preserve">Application Binaries and Configuration Baselines</w:t>
      </w:r>
    </w:p>
    <w:p>
      <w:pPr>
        <w:pStyle w:val="FirstParagraph"/>
      </w:pPr>
      <w:r>
        <w:t xml:space="preserve">Two additional categories must be addressed for a complete CP-6 implementation:</w:t>
      </w:r>
    </w:p>
    <w:p>
      <w:pPr>
        <w:pStyle w:val="BodyText"/>
      </w:pPr>
      <w:r>
        <w:rPr>
          <w:b/>
          <w:bCs/>
        </w:rPr>
        <w:t xml:space="preserve">Application binaries.</w:t>
      </w:r>
      <w:r>
        <w:t xml:space="preserve"> </w:t>
      </w:r>
      <w:r>
        <w:t xml:space="preserve">The software packages needed to deploy or redeploy application components must be available at the alternate site. For cloud-managed device platforms (device management service), verify that the application catalog is accessible from the secondary region. For Arc-managed servers, verify that extension packages and configuration baselines are stored in a secondary region storage account.</w:t>
      </w:r>
    </w:p>
    <w:p>
      <w:pPr>
        <w:pStyle w:val="BodyText"/>
      </w:pPr>
      <w:r>
        <w:rPr>
          <w:b/>
          <w:bCs/>
        </w:rPr>
        <w:t xml:space="preserve">Configuration baselines.</w:t>
      </w:r>
      <w:r>
        <w:t xml:space="preserve"> </w:t>
      </w:r>
      <w:r>
        <w:t xml:space="preserve">Infrastructure-as-code (Terraform state, ARM templates, Bicep files) and device management policies (device management service policy exports, compliance policy backups) must be stored in a location accessible from the alternate site. Store these artifacts in a secondary region Key Vault or storage account, and include their recovery in the application recovery procedures (Appendix D).</w:t>
      </w:r>
    </w:p>
    <w:p>
      <w:pPr>
        <w:pStyle w:val="SourceCode"/>
      </w:pPr>
      <w:r>
        <w:rPr>
          <w:rStyle w:val="CommentTok"/>
        </w:rPr>
        <w:t xml:space="preserve"># Export device management policies to the alternate Key Vault</w:t>
      </w:r>
      <w:r>
        <w:br/>
      </w:r>
      <w:r>
        <w:rPr>
          <w:rStyle w:val="CommentTok"/>
        </w:rPr>
        <w:t xml:space="preserve"># Run quarterly or after any policy change</w:t>
      </w:r>
      <w:r>
        <w:br/>
      </w:r>
      <w:r>
        <w:br/>
      </w:r>
      <w:r>
        <w:rPr>
          <w:rStyle w:val="VariableTok"/>
        </w:rPr>
        <w:t xml:space="preserve">$SecondaryKeyVaultName</w:t>
      </w:r>
      <w:r>
        <w:rPr>
          <w:rStyle w:val="NormalTok"/>
        </w:rPr>
        <w:t xml:space="preserve"> </w:t>
      </w:r>
      <w:r>
        <w:rPr>
          <w:rStyle w:val="OperatorTok"/>
        </w:rPr>
        <w:t xml:space="preserve">=</w:t>
      </w:r>
      <w:r>
        <w:rPr>
          <w:rStyle w:val="NormalTok"/>
        </w:rPr>
        <w:t xml:space="preserve"> </w:t>
      </w:r>
      <w:r>
        <w:rPr>
          <w:rStyle w:val="StringTok"/>
        </w:rPr>
        <w:t xml:space="preserve">"kv-agency-dr-&lt;region&gt;"</w:t>
      </w:r>
      <w:r>
        <w:br/>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"C:\CP6\PolicyExports"</w:t>
      </w:r>
      <w:r>
        <w:br/>
      </w:r>
      <w:r>
        <w:rPr>
          <w:rStyle w:val="VariableTok"/>
        </w:rPr>
        <w:t xml:space="preserve">$Timestamp</w:t>
      </w:r>
      <w:r>
        <w:rPr>
          <w:rStyle w:val="NormalTok"/>
        </w:rPr>
        <w:t xml:space="preserve"> </w:t>
      </w:r>
      <w:r>
        <w:rPr>
          <w:rStyle w:val="OperatorTok"/>
        </w:rPr>
        <w:t xml:space="preserve">=</w:t>
      </w:r>
      <w:r>
        <w:rPr>
          <w:rStyle w:val="NormalTok"/>
        </w:rPr>
        <w:t xml:space="preserve"> </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"yyyyMMdd-HHmmss"</w:t>
      </w:r>
      <w:r>
        <w:br/>
      </w:r>
      <w:r>
        <w:br/>
      </w:r>
      <w:r>
        <w:rPr>
          <w:rStyle w:val="CommentTok"/>
        </w:rPr>
        <w:t xml:space="preserve"># Export device compliance policies via Microsoft Graph</w:t>
      </w:r>
      <w:r>
        <w:br/>
      </w:r>
      <w:r>
        <w:rPr>
          <w:rStyle w:val="NormalTok"/>
        </w:rPr>
        <w:t xml:space="preserve">Connect-MgGraph </w:t>
      </w:r>
      <w:r>
        <w:rPr>
          <w:rStyle w:val="OperatorTok"/>
        </w:rPr>
        <w:t xml:space="preserve">-</w:t>
      </w:r>
      <w:r>
        <w:rPr>
          <w:rStyle w:val="NormalTok"/>
        </w:rPr>
        <w:t xml:space="preserve">Scopes </w:t>
      </w:r>
      <w:r>
        <w:rPr>
          <w:rStyle w:val="StringTok"/>
        </w:rPr>
        <w:t xml:space="preserve">"DeviceManagementConfiguration.Read.All"</w:t>
      </w:r>
      <w:r>
        <w:br/>
      </w:r>
      <w:r>
        <w:br/>
      </w:r>
      <w:r>
        <w:rPr>
          <w:rStyle w:val="VariableTok"/>
        </w:rPr>
        <w:t xml:space="preserve">$Policies</w:t>
      </w:r>
      <w:r>
        <w:rPr>
          <w:rStyle w:val="NormalTok"/>
        </w:rPr>
        <w:t xml:space="preserve"> </w:t>
      </w:r>
      <w:r>
        <w:rPr>
          <w:rStyle w:val="OperatorTok"/>
        </w:rPr>
        <w:t xml:space="preserve">=</w:t>
      </w:r>
      <w:r>
        <w:rPr>
          <w:rStyle w:val="NormalTok"/>
        </w:rPr>
        <w:t xml:space="preserve"> Get-MgDeviceManagementDeviceCompliancePolicy</w:t>
      </w:r>
      <w:r>
        <w:br/>
      </w:r>
      <w:r>
        <w:rPr>
          <w:rStyle w:val="ControlFlowTok"/>
        </w:rPr>
        <w:t xml:space="preserve">foreach</w:t>
      </w:r>
      <w:r>
        <w:rPr>
          <w:rStyle w:val="NormalTok"/>
        </w:rPr>
        <w:t xml:space="preserve"> </w:t>
      </w:r>
      <w:r>
        <w:rPr>
          <w:rStyle w:val="OperatorTok"/>
        </w:rPr>
        <w:t xml:space="preserve">(</w:t>
      </w:r>
      <w:r>
        <w:rPr>
          <w:rStyle w:val="VariableTok"/>
        </w:rPr>
        <w:t xml:space="preserve">$Policy</w:t>
      </w:r>
      <w:r>
        <w:rPr>
          <w:rStyle w:val="NormalTok"/>
        </w:rPr>
        <w:t xml:space="preserve"> </w:t>
      </w:r>
      <w:r>
        <w:rPr>
          <w:rStyle w:val="KeywordTok"/>
        </w:rPr>
        <w:t xml:space="preserve">in</w:t>
      </w:r>
      <w:r>
        <w:rPr>
          <w:rStyle w:val="NormalTok"/>
        </w:rPr>
        <w:t xml:space="preserve"> </w:t>
      </w:r>
      <w:r>
        <w:rPr>
          <w:rStyle w:val="VariableTok"/>
        </w:rPr>
        <w:t xml:space="preserve">$Policies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$PolicyJson</w:t>
      </w:r>
      <w:r>
        <w:rPr>
          <w:rStyle w:val="NormalTok"/>
        </w:rPr>
        <w:t xml:space="preserve"> </w:t>
      </w:r>
      <w:r>
        <w:rPr>
          <w:rStyle w:val="OperatorTok"/>
        </w:rPr>
        <w:t xml:space="preserve">=</w:t>
      </w:r>
      <w:r>
        <w:rPr>
          <w:rStyle w:val="NormalTok"/>
        </w:rPr>
        <w:t xml:space="preserve"> </w:t>
      </w:r>
      <w:r>
        <w:rPr>
          <w:rStyle w:val="VariableTok"/>
        </w:rPr>
        <w:t xml:space="preserve">$Policy</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10</w:t>
      </w:r>
      <w:r>
        <w:br/>
      </w:r>
      <w:r>
        <w:rPr>
          <w:rStyle w:val="NormalTok"/>
        </w:rPr>
        <w:t xml:space="preserve">    </w:t>
      </w:r>
      <w:r>
        <w:rPr>
          <w:rStyle w:val="VariableTok"/>
        </w:rPr>
        <w:t xml:space="preserve">$SafeName</w:t>
      </w:r>
      <w:r>
        <w:rPr>
          <w:rStyle w:val="NormalTok"/>
        </w:rPr>
        <w:t xml:space="preserve"> </w:t>
      </w:r>
      <w:r>
        <w:rPr>
          <w:rStyle w:val="OperatorTok"/>
        </w:rPr>
        <w:t xml:space="preserve">=</w:t>
      </w:r>
      <w:r>
        <w:rPr>
          <w:rStyle w:val="NormalTok"/>
        </w:rPr>
        <w:t xml:space="preserve"> </w:t>
      </w:r>
      <w:r>
        <w:rPr>
          <w:rStyle w:val="VariableTok"/>
        </w:rPr>
        <w:t xml:space="preserve">$Policy</w:t>
      </w:r>
      <w:r>
        <w:rPr>
          <w:rStyle w:val="OperatorTok"/>
        </w:rPr>
        <w:t xml:space="preserve">.</w:t>
      </w:r>
      <w:r>
        <w:rPr>
          <w:rStyle w:val="FunctionTok"/>
        </w:rPr>
        <w:t xml:space="preserve">DisplayName</w:t>
      </w:r>
      <w:r>
        <w:rPr>
          <w:rStyle w:val="NormalTok"/>
        </w:rPr>
        <w:t xml:space="preserve"> </w:t>
      </w:r>
      <w:r>
        <w:rPr>
          <w:rStyle w:val="OperatorTok"/>
        </w:rPr>
        <w:t xml:space="preserve">-replace</w:t>
      </w:r>
      <w:r>
        <w:rPr>
          <w:rStyle w:val="NormalTok"/>
        </w:rPr>
        <w:t xml:space="preserve"> </w:t>
      </w:r>
      <w:r>
        <w:rPr>
          <w:rStyle w:val="StringTok"/>
        </w:rPr>
        <w:t xml:space="preserve">'[^A-Za-z0-9-]'</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VariableTok"/>
        </w:rPr>
        <w:t xml:space="preserve">$FilePath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$ExportPath</w:t>
      </w:r>
      <w:r>
        <w:rPr>
          <w:rStyle w:val="StringTok"/>
        </w:rPr>
        <w:t xml:space="preserve">\</w:t>
      </w:r>
      <w:r>
        <w:rPr>
          <w:rStyle w:val="VariableTok"/>
        </w:rPr>
        <w:t xml:space="preserve">$SafeName</w:t>
      </w:r>
      <w:r>
        <w:rPr>
          <w:rStyle w:val="StringTok"/>
        </w:rPr>
        <w:t xml:space="preserve">-</w:t>
      </w:r>
      <w:r>
        <w:rPr>
          <w:rStyle w:val="VariableTok"/>
        </w:rPr>
        <w:t xml:space="preserve">$Timestamp</w:t>
      </w:r>
      <w:r>
        <w:rPr>
          <w:rStyle w:val="StringTok"/>
        </w:rPr>
        <w:t xml:space="preserve">.json"</w:t>
      </w:r>
      <w:r>
        <w:br/>
      </w:r>
      <w:r>
        <w:rPr>
          <w:rStyle w:val="NormalTok"/>
        </w:rPr>
        <w:t xml:space="preserve">    </w:t>
      </w:r>
      <w:r>
        <w:rPr>
          <w:rStyle w:val="FunctionTok"/>
        </w:rPr>
        <w:t xml:space="preserve">Set-Content</w:t>
      </w:r>
      <w:r>
        <w:rPr>
          <w:rStyle w:val="NormalTok"/>
        </w:rPr>
        <w:t xml:space="preserve"> </w:t>
      </w:r>
      <w:r>
        <w:rPr>
          <w:rStyle w:val="OperatorTok"/>
        </w:rPr>
        <w:t xml:space="preserve">-</w:t>
      </w:r>
      <w:r>
        <w:rPr>
          <w:rStyle w:val="NormalTok"/>
        </w:rPr>
        <w:t xml:space="preserve">Path </w:t>
      </w:r>
      <w:r>
        <w:rPr>
          <w:rStyle w:val="VariableTok"/>
        </w:rPr>
        <w:t xml:space="preserve">$FilePath</w:t>
      </w:r>
      <w:r>
        <w:rPr>
          <w:rStyle w:val="NormalTok"/>
        </w:rPr>
        <w:t xml:space="preserve"> </w:t>
      </w:r>
      <w:r>
        <w:rPr>
          <w:rStyle w:val="OperatorTok"/>
        </w:rPr>
        <w:t xml:space="preserve">-</w:t>
      </w:r>
      <w:r>
        <w:rPr>
          <w:rStyle w:val="NormalTok"/>
        </w:rPr>
        <w:t xml:space="preserve">Value </w:t>
      </w:r>
      <w:r>
        <w:rPr>
          <w:rStyle w:val="VariableTok"/>
        </w:rPr>
        <w:t xml:space="preserve">$PolicyJson</w:t>
      </w:r>
      <w:r>
        <w:rPr>
          <w:rStyle w:val="NormalTok"/>
        </w:rPr>
        <w:t xml:space="preserve"> </w:t>
      </w:r>
      <w:r>
        <w:rPr>
          <w:rStyle w:val="OperatorTok"/>
        </w:rPr>
        <w:t xml:space="preserve">-</w:t>
      </w:r>
      <w:r>
        <w:rPr>
          <w:rStyle w:val="NormalTok"/>
        </w:rPr>
        <w:t xml:space="preserve">Encoding UTF8</w:t>
      </w:r>
      <w:r>
        <w:br/>
      </w:r>
      <w:r>
        <w:rPr>
          <w:rStyle w:val="OperatorTok"/>
        </w:rPr>
        <w:t xml:space="preserve">}</w:t>
      </w:r>
      <w:r>
        <w:br/>
      </w:r>
      <w:r>
        <w:br/>
      </w:r>
      <w:r>
        <w:rPr>
          <w:rStyle w:val="CommentTok"/>
        </w:rPr>
        <w:t xml:space="preserve"># Upload to secondary Key Vault storage</w:t>
      </w:r>
      <w:r>
        <w:br/>
      </w:r>
      <w:r>
        <w:rPr>
          <w:rStyle w:val="VariableTok"/>
        </w:rPr>
        <w:t xml:space="preserve">$StorageContext</w:t>
      </w:r>
      <w:r>
        <w:rPr>
          <w:rStyle w:val="NormalTok"/>
        </w:rPr>
        <w:t xml:space="preserve"> </w:t>
      </w:r>
      <w:r>
        <w:rPr>
          <w:rStyle w:val="OperatorTok"/>
        </w:rPr>
        <w:t xml:space="preserve">=</w:t>
      </w:r>
      <w:r>
        <w:rPr>
          <w:rStyle w:val="NormalTok"/>
        </w:rPr>
        <w:t xml:space="preserve"> New-AzStorageContext </w:t>
      </w:r>
      <w:r>
        <w:rPr>
          <w:rStyle w:val="OperatorTok"/>
        </w:rPr>
        <w:t xml:space="preserve">-</w:t>
      </w:r>
      <w:r>
        <w:rPr>
          <w:rStyle w:val="NormalTok"/>
        </w:rPr>
        <w:t xml:space="preserve">StorageAccountName </w:t>
      </w:r>
      <w:r>
        <w:rPr>
          <w:rStyle w:val="StringTok"/>
        </w:rPr>
        <w:t xml:space="preserve">"staagencydr&lt;region&gt;"</w:t>
      </w:r>
      <w:r>
        <w:rPr>
          <w:rStyle w:val="NormalTok"/>
        </w:rPr>
        <w:t xml:space="preserve"> `</w:t>
      </w:r>
      <w:r>
        <w:br/>
      </w:r>
      <w:r>
        <w:rPr>
          <w:rStyle w:val="NormalTok"/>
        </w:rPr>
        <w:t xml:space="preserve">    </w:t>
      </w:r>
      <w:r>
        <w:rPr>
          <w:rStyle w:val="OperatorTok"/>
        </w:rPr>
        <w:t xml:space="preserve">-</w:t>
      </w:r>
      <w:r>
        <w:rPr>
          <w:rStyle w:val="NormalTok"/>
        </w:rPr>
        <w:t xml:space="preserve">UseConnectedAccount</w:t>
      </w:r>
      <w:r>
        <w:br/>
      </w:r>
      <w:r>
        <w:br/>
      </w:r>
      <w:r>
        <w:rPr>
          <w:rStyle w:val="FunctionTok"/>
        </w:rPr>
        <w:t xml:space="preserve">Get-ChildItem</w:t>
      </w:r>
      <w:r>
        <w:rPr>
          <w:rStyle w:val="NormalTok"/>
        </w:rPr>
        <w:t xml:space="preserve"> </w:t>
      </w:r>
      <w:r>
        <w:rPr>
          <w:rStyle w:val="OperatorTok"/>
        </w:rPr>
        <w:t xml:space="preserve">-</w:t>
      </w:r>
      <w:r>
        <w:rPr>
          <w:rStyle w:val="NormalTok"/>
        </w:rPr>
        <w:t xml:space="preserve">Path </w:t>
      </w:r>
      <w:r>
        <w:rPr>
          <w:rStyle w:val="VariableTok"/>
        </w:rPr>
        <w:t xml:space="preserve">$ExportPath</w:t>
      </w:r>
      <w:r>
        <w:rPr>
          <w:rStyle w:val="NormalTok"/>
        </w:rPr>
        <w:t xml:space="preserve"> </w:t>
      </w:r>
      <w:r>
        <w:rPr>
          <w:rStyle w:val="OperatorTok"/>
        </w:rPr>
        <w:t xml:space="preserve">-</w:t>
      </w:r>
      <w:r>
        <w:rPr>
          <w:rStyle w:val="NormalTok"/>
        </w:rPr>
        <w:t xml:space="preserve">Filter </w:t>
      </w:r>
      <w:r>
        <w:rPr>
          <w:rStyle w:val="StringTok"/>
        </w:rPr>
        <w:t xml:space="preserve">"*.json"</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Set-AzStorageBlobContent </w:t>
      </w:r>
      <w:r>
        <w:rPr>
          <w:rStyle w:val="OperatorTok"/>
        </w:rPr>
        <w:t xml:space="preserve">-</w:t>
      </w:r>
      <w:r>
        <w:rPr>
          <w:rStyle w:val="NormalTok"/>
        </w:rPr>
        <w:t xml:space="preserve">File </w:t>
      </w:r>
      <w:r>
        <w:rPr>
          <w:rStyle w:val="VariableTok"/>
        </w:rPr>
        <w:t xml:space="preserve">$_</w:t>
      </w:r>
      <w:r>
        <w:rPr>
          <w:rStyle w:val="OperatorTok"/>
        </w:rPr>
        <w:t xml:space="preserve">.</w:t>
      </w:r>
      <w:r>
        <w:rPr>
          <w:rStyle w:val="FunctionTok"/>
        </w:rPr>
        <w:t xml:space="preserve">FullName</w:t>
      </w:r>
      <w:r>
        <w:rPr>
          <w:rStyle w:val="NormalTok"/>
        </w:rPr>
        <w:t xml:space="preserve"> `</w:t>
      </w:r>
      <w:r>
        <w:br/>
      </w:r>
      <w:r>
        <w:rPr>
          <w:rStyle w:val="NormalTok"/>
        </w:rPr>
        <w:t xml:space="preserve">        </w:t>
      </w:r>
      <w:r>
        <w:rPr>
          <w:rStyle w:val="OperatorTok"/>
        </w:rPr>
        <w:t xml:space="preserve">-</w:t>
      </w:r>
      <w:r>
        <w:rPr>
          <w:rStyle w:val="NormalTok"/>
        </w:rPr>
        <w:t xml:space="preserve">Container </w:t>
      </w:r>
      <w:r>
        <w:rPr>
          <w:rStyle w:val="StringTok"/>
        </w:rPr>
        <w:t xml:space="preserve">"policy-exports"</w:t>
      </w:r>
      <w:r>
        <w:rPr>
          <w:rStyle w:val="NormalTok"/>
        </w:rPr>
        <w:t xml:space="preserve"> `</w:t>
      </w:r>
      <w:r>
        <w:br/>
      </w:r>
      <w:r>
        <w:rPr>
          <w:rStyle w:val="NormalTok"/>
        </w:rPr>
        <w:t xml:space="preserve">        </w:t>
      </w:r>
      <w:r>
        <w:rPr>
          <w:rStyle w:val="OperatorTok"/>
        </w:rPr>
        <w:t xml:space="preserve">-</w:t>
      </w:r>
      <w:r>
        <w:rPr>
          <w:rStyle w:val="NormalTok"/>
        </w:rPr>
        <w:t xml:space="preserve">Blob </w:t>
      </w:r>
      <w:r>
        <w:rPr>
          <w:rStyle w:val="StringTok"/>
        </w:rPr>
        <w:t xml:space="preserve">"compliance/</w:t>
      </w:r>
      <w:r>
        <w:rPr>
          <w:rStyle w:val="OperatorTok"/>
        </w:rPr>
        <w:t xml:space="preserve">$(</w:t>
      </w:r>
      <w:r>
        <w:rPr>
          <w:rStyle w:val="VariableTok"/>
        </w:rPr>
        <w:t xml:space="preserve">$_</w:t>
      </w:r>
      <w:r>
        <w:rPr>
          <w:rStyle w:val="OperatorTok"/>
        </w:rPr>
        <w:t xml:space="preserve">.</w:t>
      </w:r>
      <w:r>
        <w:rPr>
          <w:rStyle w:val="FunctionTok"/>
        </w:rPr>
        <w:t xml:space="preserve">Name</w:t>
      </w:r>
      <w:r>
        <w:rPr>
          <w:rStyle w:val="OperatorTok"/>
        </w:rPr>
        <w:t xml:space="preserve">)</w:t>
      </w:r>
      <w:r>
        <w:rPr>
          <w:rStyle w:val="String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Context </w:t>
      </w:r>
      <w:r>
        <w:rPr>
          <w:rStyle w:val="VariableTok"/>
        </w:rPr>
        <w:t xml:space="preserve">$StorageContext</w:t>
      </w:r>
      <w:r>
        <w:rPr>
          <w:rStyle w:val="NormalTok"/>
        </w:rPr>
        <w:t xml:space="preserve"> `</w:t>
      </w:r>
      <w:r>
        <w:br/>
      </w:r>
      <w:r>
        <w:rPr>
          <w:rStyle w:val="NormalTok"/>
        </w:rPr>
        <w:t xml:space="preserve">        </w:t>
      </w:r>
      <w:r>
        <w:rPr>
          <w:rStyle w:val="OperatorTok"/>
        </w:rPr>
        <w:t xml:space="preserve">-</w:t>
      </w:r>
      <w:r>
        <w:rPr>
          <w:rStyle w:val="NormalTok"/>
        </w:rPr>
        <w:t xml:space="preserve">Force</w:t>
      </w:r>
      <w:r>
        <w:br/>
      </w:r>
      <w:r>
        <w:rPr>
          <w:rStyle w:val="OperatorTok"/>
        </w:rPr>
        <w:t xml:space="preserve">}</w:t>
      </w:r>
      <w:r>
        <w:br/>
      </w:r>
      <w:r>
        <w:br/>
      </w:r>
      <w:r>
        <w:rPr>
          <w:rStyle w:val="FunctionTok"/>
        </w:rPr>
        <w:t xml:space="preserve">Write-Output</w:t>
      </w:r>
      <w:r>
        <w:rPr>
          <w:rStyle w:val="NormalTok"/>
        </w:rPr>
        <w:t xml:space="preserve"> </w:t>
      </w:r>
      <w:r>
        <w:rPr>
          <w:rStyle w:val="StringTok"/>
        </w:rPr>
        <w:t xml:space="preserve">"Policy export complete. Files uploaded to alternate region storage."</w:t>
      </w:r>
    </w:p>
    <w:bookmarkEnd w:id="35"/>
    <w:bookmarkStart w:id="36" w:name="validating-cp-6-compliance"/>
    <w:p>
      <w:pPr>
        <w:pStyle w:val="Heading3"/>
      </w:pPr>
      <w:r>
        <w:t xml:space="preserve">Validating CP-6 Compliance</w:t>
      </w:r>
    </w:p>
    <w:p>
      <w:pPr>
        <w:pStyle w:val="FirstParagraph"/>
      </w:pPr>
      <w:r>
        <w:t xml:space="preserve">An annual CP-6 validation test confirms that the alternate storage site contains a copy sufficient to restore operations. The test procedure:</w:t>
      </w:r>
    </w:p>
    <w:p>
      <w:pPr>
        <w:pStyle w:val="Compact"/>
        <w:numPr>
          <w:ilvl w:val="0"/>
          <w:numId w:val="1009"/>
        </w:numPr>
      </w:pPr>
      <w:r>
        <w:t xml:space="preserve">Identify the most recent backup or replica snapshot in the alternate site for each data category</w:t>
      </w:r>
    </w:p>
    <w:p>
      <w:pPr>
        <w:pStyle w:val="Compact"/>
        <w:numPr>
          <w:ilvl w:val="0"/>
          <w:numId w:val="1009"/>
        </w:numPr>
      </w:pPr>
      <w:r>
        <w:t xml:space="preserve">Restore a test instance from that backup in an isolated environment (not production)</w:t>
      </w:r>
    </w:p>
    <w:p>
      <w:pPr>
        <w:pStyle w:val="Compact"/>
        <w:numPr>
          <w:ilvl w:val="0"/>
          <w:numId w:val="1009"/>
        </w:numPr>
      </w:pPr>
      <w:r>
        <w:t xml:space="preserve">Confirm data integrity: compare row counts, checksums on critical tables, and representative record spot-checks against a known-good baseline</w:t>
      </w:r>
    </w:p>
    <w:p>
      <w:pPr>
        <w:pStyle w:val="Compact"/>
        <w:numPr>
          <w:ilvl w:val="0"/>
          <w:numId w:val="1009"/>
        </w:numPr>
      </w:pPr>
      <w:r>
        <w:t xml:space="preserve">Document: backup age at time of test, restore duration, integrity check results, any gaps identified</w:t>
      </w:r>
    </w:p>
    <w:p>
      <w:pPr>
        <w:pStyle w:val="Compact"/>
        <w:numPr>
          <w:ilvl w:val="0"/>
          <w:numId w:val="1009"/>
        </w:numPr>
      </w:pPr>
      <w:r>
        <w:t xml:space="preserve">Update the CP-2 with the test date and results</w:t>
      </w:r>
    </w:p>
    <w:bookmarkEnd w:id="36"/>
    <w:bookmarkEnd w:id="37"/>
    <w:bookmarkStart w:id="42" w:name="alternate-processing-site-cp-7"/>
    <w:p>
      <w:pPr>
        <w:pStyle w:val="Heading2"/>
      </w:pPr>
      <w:r>
        <w:t xml:space="preserve">Alternate Processing Site (CP-7)</w:t>
      </w:r>
    </w:p>
    <w:bookmarkStart w:id="38" w:name="cloud-native-workloads"/>
    <w:p>
      <w:pPr>
        <w:pStyle w:val="Heading3"/>
      </w:pPr>
      <w:r>
        <w:t xml:space="preserve">Cloud-Native Workloads</w:t>
      </w:r>
    </w:p>
    <w:p>
      <w:pPr>
        <w:pStyle w:val="FirstParagraph"/>
      </w:pPr>
      <w:r>
        <w:t xml:space="preserve">For cloud-native applications deployed to a primary cloud region, the alternate processing site is the secondary cloud region. The CSP’s FedRAMP ATO covers both regions, satisfying the requirement for a formally authorized alternate processing environment. CP-7 additionally requires:</w:t>
      </w:r>
    </w:p>
    <w:p>
      <w:pPr>
        <w:pStyle w:val="Compact"/>
        <w:numPr>
          <w:ilvl w:val="0"/>
          <w:numId w:val="1010"/>
        </w:numPr>
      </w:pPr>
      <w:r>
        <w:rPr>
          <w:b/>
          <w:bCs/>
        </w:rPr>
        <w:t xml:space="preserve">Documented capacity agreements.</w:t>
      </w:r>
      <w:r>
        <w:t xml:space="preserve"> </w:t>
      </w:r>
      <w:r>
        <w:t xml:space="preserve">The CSP service agreement must support spinning up production-equivalent capacity in the secondary region. For reserved instance commitments, verify that reservations cover both regions or that on-demand capacity is available.</w:t>
      </w:r>
    </w:p>
    <w:p>
      <w:pPr>
        <w:pStyle w:val="Compact"/>
        <w:numPr>
          <w:ilvl w:val="0"/>
          <w:numId w:val="1010"/>
        </w:numPr>
      </w:pPr>
      <w:r>
        <w:rPr>
          <w:b/>
          <w:bCs/>
        </w:rPr>
        <w:t xml:space="preserve">Documented RTO for primary-to-secondary failover.</w:t>
      </w:r>
      <w:r>
        <w:t xml:space="preserve"> </w:t>
      </w:r>
      <w:r>
        <w:t xml:space="preserve">This value comes from the last DR test, not from design estimates.</w:t>
      </w:r>
    </w:p>
    <w:p>
      <w:pPr>
        <w:pStyle w:val="Compact"/>
        <w:numPr>
          <w:ilvl w:val="0"/>
          <w:numId w:val="1010"/>
        </w:numPr>
      </w:pPr>
      <w:r>
        <w:rPr>
          <w:b/>
          <w:bCs/>
        </w:rPr>
        <w:t xml:space="preserve">Tested failover.</w:t>
      </w:r>
      <w:r>
        <w:t xml:space="preserve"> </w:t>
      </w:r>
      <w:r>
        <w:t xml:space="preserve">At least annually, execute an actual failover of at least one critical workload to the secondary region and document the elapsed time.</w:t>
      </w:r>
    </w:p>
    <w:p>
      <w:pPr>
        <w:pStyle w:val="FirstParagraph"/>
      </w:pPr>
      <w:r>
        <w:t xml:space="preserve">CP-7(1) requires separation from the primary site: the secondary region must be geographically and administratively separate. Document the region pair in the CP-2: primary region [name], secondary region [name], physical distance [miles/km], administrative separation confirmed by [CSP documentation reference].</w:t>
      </w:r>
    </w:p>
    <w:p>
      <w:pPr>
        <w:pStyle w:val="BodyText"/>
      </w:pPr>
      <w:r>
        <w:t xml:space="preserve">CP-7(3) requires priority-of-service provisions: the agency must have a mechanism to ensure access to alternate processing capacity during a widespread disaster, even under high demand. For commercial CSPs, this is typically addressed through the FedRAMP authorization and the CSP’s service continuity commitments. Document the specific commitment (support tier, SLA reference) in the CP-2.</w:t>
      </w:r>
    </w:p>
    <w:bookmarkEnd w:id="38"/>
    <w:bookmarkStart w:id="39" w:name="sql-server-alternate-processing"/>
    <w:p>
      <w:pPr>
        <w:pStyle w:val="Heading3"/>
      </w:pPr>
      <w:r>
        <w:t xml:space="preserve">SQL Server Alternate Processing</w:t>
      </w:r>
    </w:p>
    <w:p>
      <w:pPr>
        <w:pStyle w:val="FirstParagraph"/>
      </w:pPr>
      <w:r>
        <w:t xml:space="preserve">The SQL Server Always On Availability Group architecture provides both CP-6 (alternate storage via the replica) and CP-7 (alternate processing via failover) in a single architecture. For CP-7 documentation purposes, the key requirement is that the AG failover is tested, not just configured.</w:t>
      </w:r>
    </w:p>
    <w:p>
      <w:pPr>
        <w:pStyle w:val="BodyText"/>
      </w:pPr>
      <w:r>
        <w:t xml:space="preserve">Document in the CP-2:</w:t>
      </w:r>
      <w:r>
        <w:t xml:space="preserve"> </w:t>
      </w:r>
      <w:r>
        <w:t xml:space="preserve">- Primary SQL instance: [server name, region, role: PRIMARY]</w:t>
      </w:r>
      <w:r>
        <w:t xml:space="preserve"> </w:t>
      </w:r>
      <w:r>
        <w:t xml:space="preserve">- Synchronous replica: [server name, region or availability zone, role: SYNCHRONOUS_SECONDARY]</w:t>
      </w:r>
      <w:r>
        <w:t xml:space="preserve"> </w:t>
      </w:r>
      <w:r>
        <w:t xml:space="preserve">- Asynchronous DR replica: [server name, region, role: ASYNCHRONOUS_SECONDARY]</w:t>
      </w:r>
      <w:r>
        <w:t xml:space="preserve"> </w:t>
      </w:r>
      <w:r>
        <w:t xml:space="preserve">- Last tested RTO for synchronous failover: [N minutes, from last test date]</w:t>
      </w:r>
      <w:r>
        <w:t xml:space="preserve"> </w:t>
      </w:r>
      <w:r>
        <w:t xml:space="preserve">- Last tested RTO for async DR failover (includes data integrity check): [N minutes, from last test date]</w:t>
      </w:r>
    </w:p>
    <w:bookmarkEnd w:id="39"/>
    <w:bookmarkStart w:id="40" w:name="network-and-sd-wan-alternate-processing"/>
    <w:p>
      <w:pPr>
        <w:pStyle w:val="Heading3"/>
      </w:pPr>
      <w:r>
        <w:t xml:space="preserve">Network and SD-WAN Alternate Processing</w:t>
      </w:r>
    </w:p>
    <w:p>
      <w:pPr>
        <w:pStyle w:val="FirstParagraph"/>
      </w:pPr>
      <w:r>
        <w:t xml:space="preserve">The SD-WAN dual-underlay architecture from Vol I Book 06 provides automatic alternate path selection that satisfies CP-7 for WAN connectivity. The alternate path is a capability of the overlay — the fabric probes both underlays continuously and steers traffic per class — not of the circuits underneath it. The critical documentation requirements:</w:t>
      </w:r>
    </w:p>
    <w:p>
      <w:pPr>
        <w:pStyle w:val="SourceCode"/>
      </w:pPr>
      <w:r>
        <w:rPr>
          <w:rStyle w:val="CommentTok"/>
        </w:rPr>
        <w:t xml:space="preserve"># Retrieve SD-WAN circuit status for CP-7 documentation</w:t>
      </w:r>
      <w:r>
        <w:br/>
      </w:r>
      <w:r>
        <w:rPr>
          <w:rStyle w:val="CommentTok"/>
        </w:rPr>
        <w:t xml:space="preserve"># Execute from the SD-WAN management platform API or CLI</w:t>
      </w:r>
      <w:r>
        <w:br/>
      </w:r>
      <w:r>
        <w:br/>
      </w:r>
      <w:r>
        <w:rPr>
          <w:rStyle w:val="CommentTok"/>
        </w:rPr>
        <w:t xml:space="preserve"># Example using generic REST API call to SD-WAN orchestrator</w:t>
      </w:r>
      <w:r>
        <w:br/>
      </w:r>
      <w:r>
        <w:rPr>
          <w:rStyle w:val="VariableTok"/>
        </w:rPr>
        <w:t xml:space="preserve">$OrchestratorUrl</w:t>
      </w:r>
      <w:r>
        <w:rPr>
          <w:rStyle w:val="NormalTok"/>
        </w:rPr>
        <w:t xml:space="preserve"> </w:t>
      </w:r>
      <w:r>
        <w:rPr>
          <w:rStyle w:val="OperatorTok"/>
        </w:rPr>
        <w:t xml:space="preserve">=</w:t>
      </w:r>
      <w:r>
        <w:rPr>
          <w:rStyle w:val="NormalTok"/>
        </w:rPr>
        <w:t xml:space="preserve"> </w:t>
      </w:r>
      <w:r>
        <w:rPr>
          <w:rStyle w:val="StringTok"/>
        </w:rPr>
        <w:t xml:space="preserve">"https://&lt;sdwan-orchestrator&gt;/api/v1"</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"Authorization"</w:t>
      </w:r>
      <w:r>
        <w:rPr>
          <w:rStyle w:val="NormalTok"/>
        </w:rPr>
        <w:t xml:space="preserve"> </w:t>
      </w:r>
      <w:r>
        <w:rPr>
          <w:rStyle w:val="OperatorTok"/>
        </w:rPr>
        <w:t xml:space="preserve">=</w:t>
      </w:r>
      <w:r>
        <w:rPr>
          <w:rStyle w:val="NormalTok"/>
        </w:rPr>
        <w:t xml:space="preserve"> </w:t>
      </w:r>
      <w:r>
        <w:rPr>
          <w:rStyle w:val="StringTok"/>
        </w:rPr>
        <w:t xml:space="preserve">"Bearer </w:t>
      </w:r>
      <w:r>
        <w:rPr>
          <w:rStyle w:val="VariableTok"/>
        </w:rPr>
        <w:t xml:space="preserve">$env</w:t>
      </w:r>
      <w:r>
        <w:rPr>
          <w:rStyle w:val="OperatorTok"/>
        </w:rPr>
        <w:t xml:space="preserve">:</w:t>
      </w:r>
      <w:r>
        <w:rPr>
          <w:rStyle w:val="VariableTok"/>
        </w:rPr>
        <w:t xml:space="preserve">SDWAN_API_TOKEN</w:t>
      </w:r>
      <w:r>
        <w:rPr>
          <w:rStyle w:val="StringTok"/>
        </w:rPr>
        <w:t xml:space="preserve">"</w:t>
      </w:r>
      <w:r>
        <w:rPr>
          <w:rStyle w:val="NormalTok"/>
        </w:rPr>
        <w:t xml:space="preserve"> </w:t>
      </w:r>
      <w:r>
        <w:rPr>
          <w:rStyle w:val="OperatorTok"/>
        </w:rPr>
        <w:t xml:space="preserve">}</w:t>
      </w:r>
      <w:r>
        <w:br/>
      </w:r>
      <w:r>
        <w:br/>
      </w:r>
      <w:r>
        <w:rPr>
          <w:rStyle w:val="VariableTok"/>
        </w:rPr>
        <w:t xml:space="preserve">$Circuits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$OrchestratorUrl</w:t>
      </w:r>
      <w:r>
        <w:rPr>
          <w:rStyle w:val="StringTok"/>
        </w:rPr>
        <w:t xml:space="preserve">/underlay/circuits"</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ControlFlowTok"/>
        </w:rPr>
        <w:t xml:space="preserve">foreach</w:t>
      </w:r>
      <w:r>
        <w:rPr>
          <w:rStyle w:val="NormalTok"/>
        </w:rPr>
        <w:t xml:space="preserve"> </w:t>
      </w:r>
      <w:r>
        <w:rPr>
          <w:rStyle w:val="OperatorTok"/>
        </w:rPr>
        <w:t xml:space="preserve">(</w:t>
      </w:r>
      <w:r>
        <w:rPr>
          <w:rStyle w:val="VariableTok"/>
        </w:rPr>
        <w:t xml:space="preserve">$Circuit</w:t>
      </w:r>
      <w:r>
        <w:rPr>
          <w:rStyle w:val="NormalTok"/>
        </w:rPr>
        <w:t xml:space="preserve"> </w:t>
      </w:r>
      <w:r>
        <w:rPr>
          <w:rStyle w:val="KeywordTok"/>
        </w:rPr>
        <w:t xml:space="preserve">in</w:t>
      </w:r>
      <w:r>
        <w:rPr>
          <w:rStyle w:val="NormalTok"/>
        </w:rPr>
        <w:t xml:space="preserve"> </w:t>
      </w:r>
      <w:r>
        <w:rPr>
          <w:rStyle w:val="VariableTok"/>
        </w:rPr>
        <w:t xml:space="preserve">$Circuits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CircuitName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name</w:t>
      </w:r>
      <w:r>
        <w:br/>
      </w:r>
      <w:r>
        <w:rPr>
          <w:rStyle w:val="NormalTok"/>
        </w:rPr>
        <w:t xml:space="preserve">        Provider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provider</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type</w:t>
      </w:r>
      <w:r>
        <w:rPr>
          <w:rStyle w:val="NormalTok"/>
        </w:rPr>
        <w:t xml:space="preserve">          </w:t>
      </w:r>
      <w:r>
        <w:rPr>
          <w:rStyle w:val="CommentTok"/>
        </w:rPr>
        <w:t xml:space="preserve"># MPLS or DIA</w:t>
      </w:r>
      <w:r>
        <w:br/>
      </w:r>
      <w:r>
        <w:rPr>
          <w:rStyle w:val="NormalTok"/>
        </w:rPr>
        <w:t xml:space="preserve">        BandwidthMbps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bandwidth_mbps</w:t>
      </w:r>
      <w:r>
        <w:br/>
      </w:r>
      <w:r>
        <w:rPr>
          <w:rStyle w:val="NormalTok"/>
        </w:rPr>
        <w:t xml:space="preserve">        SLAUptimePct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sla</w:t>
      </w:r>
      <w:r>
        <w:rPr>
          <w:rStyle w:val="OperatorTok"/>
        </w:rPr>
        <w:t xml:space="preserve">.</w:t>
      </w:r>
      <w:r>
        <w:rPr>
          <w:rStyle w:val="FunctionTok"/>
        </w:rPr>
        <w:t xml:space="preserve">uptime_percent</w:t>
      </w:r>
      <w:r>
        <w:br/>
      </w:r>
      <w:r>
        <w:rPr>
          <w:rStyle w:val="NormalTok"/>
        </w:rPr>
        <w:t xml:space="preserve">        FailoverRole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failover_role</w:t>
      </w:r>
      <w:r>
        <w:rPr>
          <w:rStyle w:val="NormalTok"/>
        </w:rPr>
        <w:t xml:space="preserve">  </w:t>
      </w:r>
      <w:r>
        <w:rPr>
          <w:rStyle w:val="CommentTok"/>
        </w:rPr>
        <w:t xml:space="preserve"># PRIMARY or BACKUP</w:t>
      </w:r>
      <w:r>
        <w:br/>
      </w:r>
      <w:r>
        <w:rPr>
          <w:rStyle w:val="NormalTok"/>
        </w:rPr>
        <w:t xml:space="preserve">        LastTestedDate   </w:t>
      </w:r>
      <w:r>
        <w:rPr>
          <w:rStyle w:val="OperatorTok"/>
        </w:rPr>
        <w:t xml:space="preserve">=</w:t>
      </w:r>
      <w:r>
        <w:rPr>
          <w:rStyle w:val="NormalTok"/>
        </w:rPr>
        <w:t xml:space="preserve"> </w:t>
      </w:r>
      <w:r>
        <w:rPr>
          <w:rStyle w:val="VariableTok"/>
        </w:rPr>
        <w:t xml:space="preserve">$Circuit</w:t>
      </w:r>
      <w:r>
        <w:rPr>
          <w:rStyle w:val="OperatorTok"/>
        </w:rPr>
        <w:t xml:space="preserve">.</w:t>
      </w:r>
      <w:r>
        <w:rPr>
          <w:rStyle w:val="FunctionTok"/>
        </w:rPr>
        <w:t xml:space="preserve">last_tested</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p>
    <w:p>
      <w:pPr>
        <w:pStyle w:val="FirstParagraph"/>
      </w:pPr>
      <w:r>
        <w:t xml:space="preserve">The output of this command, run at the time of the annual test, becomes the CP-7 evidence exhibit for SD-WAN alternate processing documentation.</w:t>
      </w:r>
    </w:p>
    <w:bookmarkEnd w:id="40"/>
    <w:bookmarkStart w:id="41" w:name="amazon-connect-multi-region-failover"/>
    <w:p>
      <w:pPr>
        <w:pStyle w:val="Heading3"/>
      </w:pPr>
      <w:r>
        <w:t xml:space="preserve">Amazon Connect Multi-Region Failover</w:t>
      </w:r>
    </w:p>
    <w:p>
      <w:pPr>
        <w:pStyle w:val="FirstParagraph"/>
      </w:pPr>
      <w:r>
        <w:t xml:space="preserve">For cloud contact center platforms (such as the Amazon Connect deployment referenced in Vol I Book 06), CP-7 requires documented multi-region failover. The failover mechanism uses DNS-based health checks with automatic routing policy changes.</w:t>
      </w:r>
    </w:p>
    <w:p>
      <w:pPr>
        <w:pStyle w:val="SourceCode"/>
      </w:pPr>
      <w:r>
        <w:rPr>
          <w:rStyle w:val="CommentTok"/>
        </w:rPr>
        <w:t xml:space="preserve"># Validate Route 53 health check configuration for contact center failover</w:t>
      </w:r>
      <w:r>
        <w:br/>
      </w:r>
      <w:r>
        <w:rPr>
          <w:rStyle w:val="CommentTok"/>
        </w:rPr>
        <w:t xml:space="preserve"># Requires AWS Tools for PowerShell</w:t>
      </w:r>
      <w:r>
        <w:br/>
      </w:r>
      <w:r>
        <w:br/>
      </w:r>
      <w:r>
        <w:rPr>
          <w:rStyle w:val="FunctionTok"/>
        </w:rPr>
        <w:t xml:space="preserve">Import-Module</w:t>
      </w:r>
      <w:r>
        <w:rPr>
          <w:rStyle w:val="NormalTok"/>
        </w:rPr>
        <w:t xml:space="preserve"> AWSPowerShell</w:t>
      </w:r>
      <w:r>
        <w:rPr>
          <w:rStyle w:val="OperatorTok"/>
        </w:rPr>
        <w:t xml:space="preserve">.</w:t>
      </w:r>
      <w:r>
        <w:rPr>
          <w:rStyle w:val="FunctionTok"/>
        </w:rPr>
        <w:t xml:space="preserve">NetCore</w:t>
      </w:r>
      <w:r>
        <w:br/>
      </w:r>
      <w:r>
        <w:br/>
      </w:r>
      <w:r>
        <w:rPr>
          <w:rStyle w:val="VariableTok"/>
        </w:rPr>
        <w:t xml:space="preserve">$HealthChecks</w:t>
      </w:r>
      <w:r>
        <w:rPr>
          <w:rStyle w:val="NormalTok"/>
        </w:rPr>
        <w:t xml:space="preserve"> </w:t>
      </w:r>
      <w:r>
        <w:rPr>
          <w:rStyle w:val="OperatorTok"/>
        </w:rPr>
        <w:t xml:space="preserve">=</w:t>
      </w:r>
      <w:r>
        <w:rPr>
          <w:rStyle w:val="NormalTok"/>
        </w:rPr>
        <w:t xml:space="preserve"> Get-R53HealthCheck </w:t>
      </w:r>
      <w:r>
        <w:rPr>
          <w:rStyle w:val="OperatorTok"/>
        </w:rPr>
        <w:t xml:space="preserve">-</w:t>
      </w:r>
      <w:r>
        <w:rPr>
          <w:rStyle w:val="NormalTok"/>
        </w:rPr>
        <w:t xml:space="preserve">Region </w:t>
      </w:r>
      <w:r>
        <w:rPr>
          <w:rStyle w:val="StringTok"/>
        </w:rPr>
        <w:t xml:space="preserve">"us-east-1"</w:t>
      </w:r>
      <w:r>
        <w:br/>
      </w:r>
      <w:r>
        <w:rPr>
          <w:rStyle w:val="VariableTok"/>
        </w:rPr>
        <w:t xml:space="preserve">$ContactCenterHC</w:t>
      </w:r>
      <w:r>
        <w:rPr>
          <w:rStyle w:val="NormalTok"/>
        </w:rPr>
        <w:t xml:space="preserve"> </w:t>
      </w:r>
      <w:r>
        <w:rPr>
          <w:rStyle w:val="OperatorTok"/>
        </w:rPr>
        <w:t xml:space="preserve">=</w:t>
      </w:r>
      <w:r>
        <w:rPr>
          <w:rStyle w:val="NormalTok"/>
        </w:rPr>
        <w:t xml:space="preserve"> </w:t>
      </w:r>
      <w:r>
        <w:rPr>
          <w:rStyle w:val="VariableTok"/>
        </w:rPr>
        <w:t xml:space="preserve">$HealthChecks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HealthCheckConfig</w:t>
      </w:r>
      <w:r>
        <w:rPr>
          <w:rStyle w:val="OperatorTok"/>
        </w:rPr>
        <w:t xml:space="preserve">.</w:t>
      </w:r>
      <w:r>
        <w:rPr>
          <w:rStyle w:val="FunctionTok"/>
        </w:rPr>
        <w:t xml:space="preserve">FullyQualifiedDomainName</w:t>
      </w:r>
      <w:r>
        <w:rPr>
          <w:rStyle w:val="NormalTok"/>
        </w:rPr>
        <w:t xml:space="preserve"> </w:t>
      </w:r>
      <w:r>
        <w:rPr>
          <w:rStyle w:val="OperatorTok"/>
        </w:rPr>
        <w:t xml:space="preserve">-like</w:t>
      </w:r>
      <w:r>
        <w:rPr>
          <w:rStyle w:val="NormalTok"/>
        </w:rPr>
        <w:t xml:space="preserve"> </w:t>
      </w:r>
      <w:r>
        <w:rPr>
          <w:rStyle w:val="StringTok"/>
        </w:rPr>
        <w:t xml:space="preserve">"*contact-center*"</w:t>
      </w:r>
      <w:r>
        <w:br/>
      </w:r>
      <w:r>
        <w:rPr>
          <w:rStyle w:val="OperatorTok"/>
        </w:rPr>
        <w:t xml:space="preserve">}</w:t>
      </w:r>
      <w:r>
        <w:br/>
      </w:r>
      <w:r>
        <w:br/>
      </w:r>
      <w:r>
        <w:rPr>
          <w:rStyle w:val="ControlFlowTok"/>
        </w:rPr>
        <w:t xml:space="preserve">foreach</w:t>
      </w:r>
      <w:r>
        <w:rPr>
          <w:rStyle w:val="NormalTok"/>
        </w:rPr>
        <w:t xml:space="preserve"> </w:t>
      </w:r>
      <w:r>
        <w:rPr>
          <w:rStyle w:val="OperatorTok"/>
        </w:rPr>
        <w:t xml:space="preserve">(</w:t>
      </w:r>
      <w:r>
        <w:rPr>
          <w:rStyle w:val="VariableTok"/>
        </w:rPr>
        <w:t xml:space="preserve">$HC</w:t>
      </w:r>
      <w:r>
        <w:rPr>
          <w:rStyle w:val="NormalTok"/>
        </w:rPr>
        <w:t xml:space="preserve"> </w:t>
      </w:r>
      <w:r>
        <w:rPr>
          <w:rStyle w:val="KeywordTok"/>
        </w:rPr>
        <w:t xml:space="preserve">in</w:t>
      </w:r>
      <w:r>
        <w:rPr>
          <w:rStyle w:val="NormalTok"/>
        </w:rPr>
        <w:t xml:space="preserve"> </w:t>
      </w:r>
      <w:r>
        <w:rPr>
          <w:rStyle w:val="VariableTok"/>
        </w:rPr>
        <w:t xml:space="preserve">$ContactCenterHC</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$Status</w:t>
      </w:r>
      <w:r>
        <w:rPr>
          <w:rStyle w:val="NormalTok"/>
        </w:rPr>
        <w:t xml:space="preserve"> </w:t>
      </w:r>
      <w:r>
        <w:rPr>
          <w:rStyle w:val="OperatorTok"/>
        </w:rPr>
        <w:t xml:space="preserve">=</w:t>
      </w:r>
      <w:r>
        <w:rPr>
          <w:rStyle w:val="NormalTok"/>
        </w:rPr>
        <w:t xml:space="preserve"> Get-R53HealthCheckStatus </w:t>
      </w:r>
      <w:r>
        <w:rPr>
          <w:rStyle w:val="OperatorTok"/>
        </w:rPr>
        <w:t xml:space="preserve">-</w:t>
      </w:r>
      <w:r>
        <w:rPr>
          <w:rStyle w:val="NormalTok"/>
        </w:rPr>
        <w:t xml:space="preserve">HealthCheckId </w:t>
      </w:r>
      <w:r>
        <w:rPr>
          <w:rStyle w:val="VariableTok"/>
        </w:rPr>
        <w:t xml:space="preserve">$HC</w:t>
      </w:r>
      <w:r>
        <w:rPr>
          <w:rStyle w:val="OperatorTok"/>
        </w:rPr>
        <w:t xml:space="preserve">.</w:t>
      </w:r>
      <w:r>
        <w:rPr>
          <w:rStyle w:val="FunctionTok"/>
        </w:rPr>
        <w:t xml:space="preserve">Id</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HealthCheckId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Id</w:t>
      </w:r>
      <w:r>
        <w:br/>
      </w:r>
      <w:r>
        <w:rPr>
          <w:rStyle w:val="NormalTok"/>
        </w:rPr>
        <w:t xml:space="preserve">        FQDN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HealthCheckConfig</w:t>
      </w:r>
      <w:r>
        <w:rPr>
          <w:rStyle w:val="OperatorTok"/>
        </w:rPr>
        <w:t xml:space="preserve">.</w:t>
      </w:r>
      <w:r>
        <w:rPr>
          <w:rStyle w:val="FunctionTok"/>
        </w:rPr>
        <w:t xml:space="preserve">FullyQualifiedDomainName</w:t>
      </w:r>
      <w:r>
        <w:br/>
      </w:r>
      <w:r>
        <w:rPr>
          <w:rStyle w:val="NormalTok"/>
        </w:rPr>
        <w:t xml:space="preserve">        Protocol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HealthCheckConfig</w:t>
      </w:r>
      <w:r>
        <w:rPr>
          <w:rStyle w:val="OperatorTok"/>
        </w:rPr>
        <w:t xml:space="preserve">.</w:t>
      </w:r>
      <w:r>
        <w:rPr>
          <w:rStyle w:val="FunctionTok"/>
        </w:rPr>
        <w:t xml:space="preserve">Type</w:t>
      </w:r>
      <w:r>
        <w:br/>
      </w:r>
      <w:r>
        <w:rPr>
          <w:rStyle w:val="NormalTok"/>
        </w:rPr>
        <w:t xml:space="preserve">        FailureThreshold  </w:t>
      </w:r>
      <w:r>
        <w:rPr>
          <w:rStyle w:val="OperatorTok"/>
        </w:rPr>
        <w:t xml:space="preserve">=</w:t>
      </w:r>
      <w:r>
        <w:rPr>
          <w:rStyle w:val="NormalTok"/>
        </w:rPr>
        <w:t xml:space="preserve"> </w:t>
      </w:r>
      <w:r>
        <w:rPr>
          <w:rStyle w:val="VariableTok"/>
        </w:rPr>
        <w:t xml:space="preserve">$HC</w:t>
      </w:r>
      <w:r>
        <w:rPr>
          <w:rStyle w:val="OperatorTok"/>
        </w:rPr>
        <w:t xml:space="preserve">.</w:t>
      </w:r>
      <w:r>
        <w:rPr>
          <w:rStyle w:val="FunctionTok"/>
        </w:rPr>
        <w:t xml:space="preserve">HealthCheckConfig</w:t>
      </w:r>
      <w:r>
        <w:rPr>
          <w:rStyle w:val="OperatorTok"/>
        </w:rPr>
        <w:t xml:space="preserve">.</w:t>
      </w:r>
      <w:r>
        <w:rPr>
          <w:rStyle w:val="FunctionTok"/>
        </w:rPr>
        <w:t xml:space="preserve">FailureThreshold</w:t>
      </w:r>
      <w:r>
        <w:br/>
      </w:r>
      <w:r>
        <w:rPr>
          <w:rStyle w:val="NormalTok"/>
        </w:rPr>
        <w:t xml:space="preserve">        CurrentStatus     </w:t>
      </w:r>
      <w:r>
        <w:rPr>
          <w:rStyle w:val="OperatorTok"/>
        </w:rPr>
        <w:t xml:space="preserve">=</w:t>
      </w:r>
      <w:r>
        <w:rPr>
          <w:rStyle w:val="NormalTok"/>
        </w:rPr>
        <w:t xml:space="preserve"> </w:t>
      </w:r>
      <w:r>
        <w:rPr>
          <w:rStyle w:val="OperatorTok"/>
        </w:rPr>
        <w:t xml:space="preserve">(</w:t>
      </w:r>
      <w:r>
        <w:rPr>
          <w:rStyle w:val="VariableTok"/>
        </w:rPr>
        <w:t xml:space="preserve">$Status</w:t>
      </w:r>
      <w:r>
        <w:rPr>
          <w:rStyle w:val="OperatorTok"/>
        </w:rPr>
        <w:t xml:space="preserve">.</w:t>
      </w:r>
      <w:r>
        <w:rPr>
          <w:rStyle w:val="FunctionTok"/>
        </w:rPr>
        <w:t xml:space="preserve">HealthCheckObservations</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rPr>
          <w:rStyle w:val="OperatorTok"/>
        </w:rPr>
        <w:t xml:space="preserve">).</w:t>
      </w:r>
      <w:r>
        <w:rPr>
          <w:rStyle w:val="FunctionTok"/>
        </w:rPr>
        <w:t xml:space="preserve">StatusReport</w:t>
      </w:r>
      <w:r>
        <w:rPr>
          <w:rStyle w:val="OperatorTok"/>
        </w:rPr>
        <w:t xml:space="preserve">.</w:t>
      </w:r>
      <w:r>
        <w:rPr>
          <w:rStyle w:val="FunctionTok"/>
        </w:rPr>
        <w:t xml:space="preserve">Status</w:t>
      </w:r>
      <w:r>
        <w:br/>
      </w:r>
      <w:r>
        <w:rPr>
          <w:rStyle w:val="NormalTok"/>
        </w:rPr>
        <w:t xml:space="preserve">    </w:t>
      </w:r>
      <w:r>
        <w:rPr>
          <w:rStyle w:val="OperatorTok"/>
        </w:rPr>
        <w:t xml:space="preserve">}</w:t>
      </w:r>
      <w:r>
        <w:br/>
      </w:r>
      <w:r>
        <w:rPr>
          <w:rStyle w:val="OperatorTok"/>
        </w:rPr>
        <w:t xml:space="preserve">}</w:t>
      </w:r>
    </w:p>
    <w:p>
      <w:pPr>
        <w:pStyle w:val="FirstParagraph"/>
      </w:pPr>
      <w:r>
        <w:t xml:space="preserve">Document the health check configuration, the DNS routing policy (failover routing with primary and secondary record sets), and the time-to-failover as observed in the last test.</w:t>
      </w:r>
    </w:p>
    <w:bookmarkEnd w:id="41"/>
    <w:bookmarkEnd w:id="42"/>
    <w:bookmarkStart w:id="46" w:name="X1e2dce85285bf2318ef29fde4d675e0cee187f6"/>
    <w:p>
      <w:pPr>
        <w:pStyle w:val="Heading2"/>
      </w:pPr>
      <w:r>
        <w:t xml:space="preserve">Telecommunications Service Redundancy (CP-8)</w:t>
      </w:r>
    </w:p>
    <w:bookmarkStart w:id="43" w:name="cp-8-requirements"/>
    <w:p>
      <w:pPr>
        <w:pStyle w:val="Heading3"/>
      </w:pPr>
      <w:r>
        <w:t xml:space="preserve">CP-8 Requirements</w:t>
      </w:r>
    </w:p>
    <w:p>
      <w:pPr>
        <w:pStyle w:val="FirstParagraph"/>
      </w:pPr>
      <w:r>
        <w:t xml:space="preserve">CP-8 requires the organization to establish alternate telecommunications services, including necessary agreements, to support resumption of system operations for essential mission and business functions within the RTO. CP-8(1) requires priority-of-service provisions with primary and alternate telecommunications service providers.</w:t>
      </w:r>
    </w:p>
    <w:bookmarkEnd w:id="43"/>
    <w:bookmarkStart w:id="44" w:name="X22870b288685406caf95d5c34a11931039236e1"/>
    <w:p>
      <w:pPr>
        <w:pStyle w:val="Heading3"/>
      </w:pPr>
      <w:r>
        <w:t xml:space="preserve">SD-WAN Dual Underlay as CP-8 Implementation</w:t>
      </w:r>
    </w:p>
    <w:p>
      <w:pPr>
        <w:pStyle w:val="FirstParagraph"/>
      </w:pPr>
      <w:r>
        <w:t xml:space="preserve">The SD-WAN architecture from Vol I Book 06 directly implements CP-8. The distinction that matters for the CP-2 documentation: the circuits supply capacity and physically separate paths; the</w:t>
      </w:r>
      <w:r>
        <w:t xml:space="preserve"> </w:t>
      </w:r>
      <w:r>
        <w:rPr>
          <w:i/>
          <w:iCs/>
        </w:rPr>
        <w:t xml:space="preserve">service redundancy</w:t>
      </w:r>
      <w:r>
        <w:t xml:space="preserve"> </w:t>
      </w:r>
      <w:r>
        <w:t xml:space="preserve">CP-8 asks for — detection, failover, and resumption of operations — is supplied by the overlay that governs them. The dual underlay consists of:</w:t>
      </w:r>
    </w:p>
    <w:p>
      <w:pPr>
        <w:pStyle w:val="BodyText"/>
      </w:pPr>
      <w:r>
        <w:rPr>
          <w:b/>
          <w:bCs/>
        </w:rPr>
        <w:t xml:space="preserve">Primary path (MPLS):</w:t>
      </w:r>
      <w:r>
        <w:t xml:space="preserve"> </w:t>
      </w:r>
      <w:r>
        <w:t xml:space="preserve">Carrier-grade MPLS circuit providing deterministic latency for voice and video traffic. Characteristics to document:</w:t>
      </w:r>
      <w:r>
        <w:t xml:space="preserve"> </w:t>
      </w:r>
      <w:r>
        <w:t xml:space="preserve">- Primary carrier name and circuit ID</w:t>
      </w:r>
      <w:r>
        <w:t xml:space="preserve"> </w:t>
      </w:r>
      <w:r>
        <w:t xml:space="preserve">- Committed bandwidth (upload/download)</w:t>
      </w:r>
      <w:r>
        <w:t xml:space="preserve"> </w:t>
      </w:r>
      <w:r>
        <w:t xml:space="preserve">- Committed latency and jitter SLA</w:t>
      </w:r>
      <w:r>
        <w:t xml:space="preserve"> </w:t>
      </w:r>
      <w:r>
        <w:t xml:space="preserve">- Contracted uptime SLA and MTTR</w:t>
      </w:r>
      <w:r>
        <w:t xml:space="preserve"> </w:t>
      </w:r>
      <w:r>
        <w:t xml:space="preserve">- NOC contact and escalation path</w:t>
      </w:r>
    </w:p>
    <w:p>
      <w:pPr>
        <w:pStyle w:val="BodyText"/>
      </w:pPr>
      <w:r>
        <w:rPr>
          <w:b/>
          <w:bCs/>
        </w:rPr>
        <w:t xml:space="preserve">Backup path (DIA — Direct Internet Access):</w:t>
      </w:r>
      <w:r>
        <w:t xml:space="preserve"> </w:t>
      </w:r>
      <w:r>
        <w:t xml:space="preserve">Broadband Internet circuit from a different provider. The circuit contributes exactly two things: bandwidth and a physically separate path. It becomes an alternate telecommunications</w:t>
      </w:r>
      <w:r>
        <w:t xml:space="preserve"> </w:t>
      </w:r>
      <w:r>
        <w:rPr>
          <w:i/>
          <w:iCs/>
        </w:rPr>
        <w:t xml:space="preserve">service</w:t>
      </w:r>
      <w:r>
        <w:t xml:space="preserve"> </w:t>
      </w:r>
      <w:r>
        <w:t xml:space="preserve">in the CP-8 sense only because the SD-WAN overlay probes it continuously, encrypts it, and can steer per-class traffic onto it when MPLS degrades — a second circuit without the overlay is added bandwidth, not added resilience. Characteristics to document:</w:t>
      </w:r>
      <w:r>
        <w:t xml:space="preserve"> </w:t>
      </w:r>
      <w:r>
        <w:t xml:space="preserve">- Backup carrier name and circuit ID</w:t>
      </w:r>
      <w:r>
        <w:t xml:space="preserve"> </w:t>
      </w:r>
      <w:r>
        <w:t xml:space="preserve">- Committed bandwidth</w:t>
      </w:r>
      <w:r>
        <w:t xml:space="preserve"> </w:t>
      </w:r>
      <w:r>
        <w:t xml:space="preserve">- Best-effort latency characteristics</w:t>
      </w:r>
      <w:r>
        <w:t xml:space="preserve"> </w:t>
      </w:r>
      <w:r>
        <w:t xml:space="preserve">- NOC contact and escalation path</w:t>
      </w:r>
      <w:r>
        <w:t xml:space="preserve"> </w:t>
      </w:r>
      <w:r>
        <w:t xml:space="preserve">- Physical path separation from primary circuit (verify that backup circuit does not share physical infrastructure at the building entry point or regional exchange)</w:t>
      </w:r>
    </w:p>
    <w:p>
      <w:pPr>
        <w:pStyle w:val="BodyText"/>
      </w:pPr>
      <w:r>
        <w:rPr>
          <w:b/>
          <w:bCs/>
        </w:rPr>
        <w:t xml:space="preserve">Automatic failover.</w:t>
      </w:r>
      <w:r>
        <w:t xml:space="preserve"> </w:t>
      </w:r>
      <w:r>
        <w:t xml:space="preserve">The SD-WAN fabric runs both underlays active-active and measures each continuously — BFD (Bidirectional Forwarding Detection) or equivalent liveness detection, plus per-path probes for packet loss, latency, and jitter. When the primary path degrades below configured thresholds, the overlay steers traffic to the backup path without manual intervention; for brownout conditions caught by the probes, per-class steering completes in under a second, with the overlay resequencing packets and moving voice and transaction classes first. The failover detection and cutover time is configurable and must be documented from observation, not from the datasheet. This paragraph is where the CP-8 capability actually lives: failover, resequencing, and per-class path policy are overlay functions. The circuits beneath them are interchangeable capacity.</w:t>
      </w:r>
    </w:p>
    <w:p>
      <w:pPr>
        <w:pStyle w:val="BlockText"/>
      </w:pPr>
      <w:r>
        <w:rPr>
          <w:b/>
          <w:bCs/>
        </w:rPr>
        <w:t xml:space="preserve">Closure Necessity — CP-8 on the dual underlay.</w:t>
      </w:r>
      <w:r>
        <w:t xml:space="preserve"> </w:t>
      </w:r>
      <w:r>
        <w:t xml:space="preserve">Most of the CP family closes with authored artifacts, not technology: CP-2 is a signed plan, CP-3 is a training record, CP-4 is a documented test. No network purchase produces any of those, and this document exists precisely because infrastructure alone cannot. CP-8 is the one place in the family where the mechanism matters. The control requires alternate telecommunications services that support</w:t>
      </w:r>
      <w:r>
        <w:t xml:space="preserve"> </w:t>
      </w:r>
      <w:r>
        <w:rPr>
          <w:i/>
          <w:iCs/>
        </w:rPr>
        <w:t xml:space="preserve">resumption of operations</w:t>
      </w:r>
      <w:r>
        <w:t xml:space="preserve"> </w:t>
      </w:r>
      <w:r>
        <w:t xml:space="preserve">within the RTO. Two circuits from two carriers satisfy the</w:t>
      </w:r>
      <w:r>
        <w:t xml:space="preserve"> </w:t>
      </w:r>
      <w:r>
        <w:t xml:space="preserve">“alternate services”</w:t>
      </w:r>
      <w:r>
        <w:t xml:space="preserve"> </w:t>
      </w:r>
      <w:r>
        <w:t xml:space="preserve">clause on paper; by themselves they resume nothing. Traditional dual-homing fails over on routing-protocol reconvergence: it is all-or-nothing, blind to brownouts (loss, latency, and jitter that never drop the link), carries no per-class policy, and produces no recorded evidence of path health. Those are the gaps that leave</w:t>
      </w:r>
      <w:r>
        <w:t xml:space="preserve"> </w:t>
      </w:r>
      <w:r>
        <w:t xml:space="preserve">“alternate services on paper”</w:t>
      </w:r>
      <w:r>
        <w:t xml:space="preserve"> </w:t>
      </w:r>
      <w:r>
        <w:t xml:space="preserve">short of</w:t>
      </w:r>
      <w:r>
        <w:t xml:space="preserve"> </w:t>
      </w:r>
      <w:r>
        <w:rPr>
          <w:i/>
          <w:iCs/>
        </w:rPr>
        <w:t xml:space="preserve">resuming operations</w:t>
      </w:r>
      <w:r>
        <w:t xml:space="preserve"> </w:t>
      </w:r>
      <w:r>
        <w:t xml:space="preserve">to a documented standard, against a 15-minute RTO and a 30-minute MTD for the network layer. The mechanism that closes them is SD-WAN active-active multipath: probe-driven path selection, per-class steering that reacts to brownout in under a second, and continuous recorded path telemetry that becomes the CP-8 test evidence. A second DIA circuit without the overlay adds bandwidth, not resilience.</w:t>
      </w:r>
    </w:p>
    <w:p>
      <w:pPr>
        <w:pStyle w:val="SourceCode"/>
      </w:pPr>
      <w:r>
        <w:rPr>
          <w:rStyle w:val="CommentTok"/>
        </w:rPr>
        <w:t xml:space="preserve"># Query SD-WAN path quality metrics for CP-8 documentation</w:t>
      </w:r>
      <w:r>
        <w:br/>
      </w:r>
      <w:r>
        <w:rPr>
          <w:rStyle w:val="CommentTok"/>
        </w:rPr>
        <w:t xml:space="preserve"># Retrieves real-time and historical path quality from orchestrator</w:t>
      </w:r>
      <w:r>
        <w:br/>
      </w:r>
      <w:r>
        <w:br/>
      </w:r>
      <w:r>
        <w:rPr>
          <w:rStyle w:val="VariableTok"/>
        </w:rPr>
        <w:t xml:space="preserve">$OrchestratorUrl</w:t>
      </w:r>
      <w:r>
        <w:rPr>
          <w:rStyle w:val="NormalTok"/>
        </w:rPr>
        <w:t xml:space="preserve"> </w:t>
      </w:r>
      <w:r>
        <w:rPr>
          <w:rStyle w:val="OperatorTok"/>
        </w:rPr>
        <w:t xml:space="preserve">=</w:t>
      </w:r>
      <w:r>
        <w:rPr>
          <w:rStyle w:val="NormalTok"/>
        </w:rPr>
        <w:t xml:space="preserve"> </w:t>
      </w:r>
      <w:r>
        <w:rPr>
          <w:rStyle w:val="StringTok"/>
        </w:rPr>
        <w:t xml:space="preserve">"https://&lt;sdwan-orchestrator&gt;/api/v1"</w:t>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"Authorization"</w:t>
      </w:r>
      <w:r>
        <w:rPr>
          <w:rStyle w:val="NormalTok"/>
        </w:rPr>
        <w:t xml:space="preserve"> </w:t>
      </w:r>
      <w:r>
        <w:rPr>
          <w:rStyle w:val="OperatorTok"/>
        </w:rPr>
        <w:t xml:space="preserve">=</w:t>
      </w:r>
      <w:r>
        <w:rPr>
          <w:rStyle w:val="NormalTok"/>
        </w:rPr>
        <w:t xml:space="preserve"> </w:t>
      </w:r>
      <w:r>
        <w:rPr>
          <w:rStyle w:val="StringTok"/>
        </w:rPr>
        <w:t xml:space="preserve">"Bearer </w:t>
      </w:r>
      <w:r>
        <w:rPr>
          <w:rStyle w:val="VariableTok"/>
        </w:rPr>
        <w:t xml:space="preserve">$env</w:t>
      </w:r>
      <w:r>
        <w:rPr>
          <w:rStyle w:val="OperatorTok"/>
        </w:rPr>
        <w:t xml:space="preserve">:</w:t>
      </w:r>
      <w:r>
        <w:rPr>
          <w:rStyle w:val="VariableTok"/>
        </w:rPr>
        <w:t xml:space="preserve">SDWAN_API_TOKEN</w:t>
      </w:r>
      <w:r>
        <w:rPr>
          <w:rStyle w:val="StringTok"/>
        </w:rPr>
        <w:t xml:space="preserve">"</w:t>
      </w:r>
      <w:r>
        <w:rPr>
          <w:rStyle w:val="NormalTok"/>
        </w:rPr>
        <w:t xml:space="preserve"> </w:t>
      </w:r>
      <w:r>
        <w:rPr>
          <w:rStyle w:val="OperatorTok"/>
        </w:rPr>
        <w:t xml:space="preserve">}</w:t>
      </w:r>
      <w:r>
        <w:br/>
      </w:r>
      <w:r>
        <w:br/>
      </w:r>
      <w:r>
        <w:rPr>
          <w:rStyle w:val="CommentTok"/>
        </w:rPr>
        <w:t xml:space="preserve"># Get current path status for each edge site</w:t>
      </w:r>
      <w:r>
        <w:br/>
      </w:r>
      <w:r>
        <w:rPr>
          <w:rStyle w:val="VariableTok"/>
        </w:rPr>
        <w:t xml:space="preserve">$Sites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$OrchestratorUrl</w:t>
      </w:r>
      <w:r>
        <w:rPr>
          <w:rStyle w:val="StringTok"/>
        </w:rPr>
        <w:t xml:space="preserve">/edges"</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ControlFlowTok"/>
        </w:rPr>
        <w:t xml:space="preserve">foreach</w:t>
      </w:r>
      <w:r>
        <w:rPr>
          <w:rStyle w:val="NormalTok"/>
        </w:rPr>
        <w:t xml:space="preserve"> </w:t>
      </w:r>
      <w:r>
        <w:rPr>
          <w:rStyle w:val="OperatorTok"/>
        </w:rPr>
        <w:t xml:space="preserve">(</w:t>
      </w:r>
      <w:r>
        <w:rPr>
          <w:rStyle w:val="VariableTok"/>
        </w:rPr>
        <w:t xml:space="preserve">$Site</w:t>
      </w:r>
      <w:r>
        <w:rPr>
          <w:rStyle w:val="NormalTok"/>
        </w:rPr>
        <w:t xml:space="preserve"> </w:t>
      </w:r>
      <w:r>
        <w:rPr>
          <w:rStyle w:val="KeywordTok"/>
        </w:rPr>
        <w:t xml:space="preserve">in</w:t>
      </w:r>
      <w:r>
        <w:rPr>
          <w:rStyle w:val="NormalTok"/>
        </w:rPr>
        <w:t xml:space="preserve"> </w:t>
      </w:r>
      <w:r>
        <w:rPr>
          <w:rStyle w:val="VariableTok"/>
        </w:rPr>
        <w:t xml:space="preserve">$Sites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$PathStatus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br/>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$OrchestratorUrl</w:t>
      </w:r>
      <w:r>
        <w:rPr>
          <w:rStyle w:val="StringTok"/>
        </w:rPr>
        <w:t xml:space="preserve">/edges/</w:t>
      </w:r>
      <w:r>
        <w:rPr>
          <w:rStyle w:val="OperatorTok"/>
        </w:rPr>
        <w:t xml:space="preserve">$(</w:t>
      </w:r>
      <w:r>
        <w:rPr>
          <w:rStyle w:val="VariableTok"/>
        </w:rPr>
        <w:t xml:space="preserve">$Site</w:t>
      </w:r>
      <w:r>
        <w:rPr>
          <w:rStyle w:val="OperatorTok"/>
        </w:rPr>
        <w:t xml:space="preserve">.</w:t>
      </w:r>
      <w:r>
        <w:rPr>
          <w:rStyle w:val="FunctionTok"/>
        </w:rPr>
        <w:t xml:space="preserve">id</w:t>
      </w:r>
      <w:r>
        <w:rPr>
          <w:rStyle w:val="OperatorTok"/>
        </w:rPr>
        <w:t xml:space="preserve">)</w:t>
      </w:r>
      <w:r>
        <w:rPr>
          <w:rStyle w:val="StringTok"/>
        </w:rPr>
        <w:t xml:space="preserve">/path-quality"</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$Path</w:t>
      </w:r>
      <w:r>
        <w:rPr>
          <w:rStyle w:val="NormalTok"/>
        </w:rPr>
        <w:t xml:space="preserve"> </w:t>
      </w:r>
      <w:r>
        <w:rPr>
          <w:rStyle w:val="KeywordTok"/>
        </w:rPr>
        <w:t xml:space="preserve">in</w:t>
      </w:r>
      <w:r>
        <w:rPr>
          <w:rStyle w:val="NormalTok"/>
        </w:rPr>
        <w:t xml:space="preserve"> </w:t>
      </w:r>
      <w:r>
        <w:rPr>
          <w:rStyle w:val="VariableTok"/>
        </w:rPr>
        <w:t xml:space="preserve">$PathStatus</w:t>
      </w:r>
      <w:r>
        <w:rPr>
          <w:rStyle w:val="OperatorTok"/>
        </w:rPr>
        <w:t xml:space="preserve">.</w:t>
      </w:r>
      <w:r>
        <w:rPr>
          <w:rStyle w:val="FunctionTok"/>
        </w:rPr>
        <w:t xml:space="preserve">paths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Site            </w:t>
      </w:r>
      <w:r>
        <w:rPr>
          <w:rStyle w:val="OperatorTok"/>
        </w:rPr>
        <w:t xml:space="preserve">=</w:t>
      </w:r>
      <w:r>
        <w:rPr>
          <w:rStyle w:val="NormalTok"/>
        </w:rPr>
        <w:t xml:space="preserve"> </w:t>
      </w:r>
      <w:r>
        <w:rPr>
          <w:rStyle w:val="VariableTok"/>
        </w:rPr>
        <w:t xml:space="preserve">$Site</w:t>
      </w:r>
      <w:r>
        <w:rPr>
          <w:rStyle w:val="OperatorTok"/>
        </w:rPr>
        <w:t xml:space="preserve">.</w:t>
      </w:r>
      <w:r>
        <w:rPr>
          <w:rStyle w:val="FunctionTok"/>
        </w:rPr>
        <w:t xml:space="preserve">name</w:t>
      </w:r>
      <w:r>
        <w:br/>
      </w:r>
      <w:r>
        <w:rPr>
          <w:rStyle w:val="NormalTok"/>
        </w:rPr>
        <w:t xml:space="preserve">            PathName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name</w:t>
      </w:r>
      <w:r>
        <w:br/>
      </w:r>
      <w:r>
        <w:rPr>
          <w:rStyle w:val="NormalTok"/>
        </w:rPr>
        <w:t xml:space="preserve">            Underlay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underlay_type</w:t>
      </w:r>
      <w:r>
        <w:rPr>
          <w:rStyle w:val="NormalTok"/>
        </w:rPr>
        <w:t xml:space="preserve">    </w:t>
      </w:r>
      <w:r>
        <w:rPr>
          <w:rStyle w:val="CommentTok"/>
        </w:rPr>
        <w:t xml:space="preserve"># MPLS or BROADBAND</w:t>
      </w:r>
      <w:r>
        <w:br/>
      </w:r>
      <w:r>
        <w:rPr>
          <w:rStyle w:val="NormalTok"/>
        </w:rPr>
        <w:t xml:space="preserve">            State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state</w:t>
      </w:r>
      <w:r>
        <w:rPr>
          <w:rStyle w:val="NormalTok"/>
        </w:rPr>
        <w:t xml:space="preserve">            </w:t>
      </w:r>
      <w:r>
        <w:rPr>
          <w:rStyle w:val="CommentTok"/>
        </w:rPr>
        <w:t xml:space="preserve"># UP or DOWN</w:t>
      </w:r>
      <w:r>
        <w:br/>
      </w:r>
      <w:r>
        <w:rPr>
          <w:rStyle w:val="NormalTok"/>
        </w:rPr>
        <w:t xml:space="preserve">            LossPercent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metrics</w:t>
      </w:r>
      <w:r>
        <w:rPr>
          <w:rStyle w:val="OperatorTok"/>
        </w:rPr>
        <w:t xml:space="preserve">.</w:t>
      </w:r>
      <w:r>
        <w:rPr>
          <w:rStyle w:val="FunctionTok"/>
        </w:rPr>
        <w:t xml:space="preserve">loss_pct</w:t>
      </w:r>
      <w:r>
        <w:br/>
      </w:r>
      <w:r>
        <w:rPr>
          <w:rStyle w:val="NormalTok"/>
        </w:rPr>
        <w:t xml:space="preserve">            LatencyMs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metrics</w:t>
      </w:r>
      <w:r>
        <w:rPr>
          <w:rStyle w:val="OperatorTok"/>
        </w:rPr>
        <w:t xml:space="preserve">.</w:t>
      </w:r>
      <w:r>
        <w:rPr>
          <w:rStyle w:val="FunctionTok"/>
        </w:rPr>
        <w:t xml:space="preserve">latency_ms</w:t>
      </w:r>
      <w:r>
        <w:br/>
      </w:r>
      <w:r>
        <w:rPr>
          <w:rStyle w:val="NormalTok"/>
        </w:rPr>
        <w:t xml:space="preserve">            JitterMs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metrics</w:t>
      </w:r>
      <w:r>
        <w:rPr>
          <w:rStyle w:val="OperatorTok"/>
        </w:rPr>
        <w:t xml:space="preserve">.</w:t>
      </w:r>
      <w:r>
        <w:rPr>
          <w:rStyle w:val="FunctionTok"/>
        </w:rPr>
        <w:t xml:space="preserve">jitter_ms</w:t>
      </w:r>
      <w:r>
        <w:br/>
      </w:r>
      <w:r>
        <w:rPr>
          <w:rStyle w:val="NormalTok"/>
        </w:rPr>
        <w:t xml:space="preserve">            ActiveForTraffic </w:t>
      </w:r>
      <w:r>
        <w:rPr>
          <w:rStyle w:val="OperatorTok"/>
        </w:rPr>
        <w:t xml:space="preserve">=</w:t>
      </w:r>
      <w:r>
        <w:rPr>
          <w:rStyle w:val="NormalTok"/>
        </w:rPr>
        <w:t xml:space="preserve"> </w:t>
      </w:r>
      <w:r>
        <w:rPr>
          <w:rStyle w:val="VariableTok"/>
        </w:rPr>
        <w:t xml:space="preserve">$Path</w:t>
      </w:r>
      <w:r>
        <w:rPr>
          <w:rStyle w:val="OperatorTok"/>
        </w:rPr>
        <w:t xml:space="preserve">.</w:t>
      </w:r>
      <w:r>
        <w:rPr>
          <w:rStyle w:val="FunctionTok"/>
        </w:rPr>
        <w:t xml:space="preserve">is_active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Format-Table</w:t>
      </w:r>
      <w:r>
        <w:rPr>
          <w:rStyle w:val="NormalTok"/>
        </w:rPr>
        <w:t xml:space="preserve"> </w:t>
      </w:r>
      <w:r>
        <w:rPr>
          <w:rStyle w:val="OperatorTok"/>
        </w:rPr>
        <w:t xml:space="preserve">-</w:t>
      </w:r>
      <w:r>
        <w:rPr>
          <w:rStyle w:val="NormalTok"/>
        </w:rPr>
        <w:t xml:space="preserve">AutoSize</w:t>
      </w:r>
    </w:p>
    <w:bookmarkEnd w:id="44"/>
    <w:bookmarkStart w:id="45" w:name="cp-8-documentation-block-for-cp-2"/>
    <w:p>
      <w:pPr>
        <w:pStyle w:val="Heading3"/>
      </w:pPr>
      <w:r>
        <w:t xml:space="preserve">CP-8 Documentation Block for CP-2</w:t>
      </w:r>
    </w:p>
    <w:p>
      <w:pPr>
        <w:pStyle w:val="FirstParagraph"/>
      </w:pPr>
      <w:r>
        <w:t xml:space="preserve">Include the following table in Section 2 or as a dedicated subsection of Section 5 in the CP-2:</w:t>
      </w:r>
    </w:p>
    <w:p>
      <w:pPr>
        <w:pStyle w:val="TableCaption"/>
      </w:pPr>
      <w:r>
        <w:t xml:space="preserve">CP-8 Telecommunications Circuit Inventory</w:t>
      </w:r>
    </w:p>
    <w:tbl>
      <w:tblPr>
        <w:tblStyle w:val="Table"/>
        <w:tblW w:type="pct" w:w="5000"/>
        <w:tblLayout w:type="fixed"/>
        <w:tblLook w:firstRow="1" w:lastRow="0" w:firstColumn="0" w:lastColumn="0" w:noHBand="0" w:noVBand="0" w:val="0020"/>
        <w:tblCaption w:val="CP-8 Telecommunications Circuit Inventory"/>
      </w:tblPr>
      <w:tblGrid>
        <w:gridCol w:w="1320"/>
        <w:gridCol w:w="1320"/>
        <w:gridCol w:w="1320"/>
        <w:gridCol w:w="1320"/>
        <w:gridCol w:w="1320"/>
        <w:gridCol w:w="1320"/>
      </w:tblGrid>
      <w:tr>
        <w:trPr>
          <w:tblHeader w:val="on"/>
        </w:trPr>
        <w:tc>
          <w:tcPr/>
          <w:p>
            <w:pPr>
              <w:pStyle w:val="Compact"/>
            </w:pPr>
            <w:r>
              <w:t xml:space="preserve">Circuit</w:t>
            </w:r>
          </w:p>
        </w:tc>
        <w:tc>
          <w:tcPr/>
          <w:p>
            <w:pPr>
              <w:pStyle w:val="Compact"/>
            </w:pPr>
            <w:r>
              <w:t xml:space="preserve">Provider</w:t>
            </w:r>
          </w:p>
        </w:tc>
        <w:tc>
          <w:tcPr/>
          <w:p>
            <w:pPr>
              <w:pStyle w:val="Compact"/>
            </w:pPr>
            <w:r>
              <w:t xml:space="preserve">Type</w:t>
            </w:r>
          </w:p>
        </w:tc>
        <w:tc>
          <w:tcPr/>
          <w:p>
            <w:pPr>
              <w:pStyle w:val="Compact"/>
            </w:pPr>
            <w:r>
              <w:t xml:space="preserve">Bandwidth</w:t>
            </w:r>
          </w:p>
        </w:tc>
        <w:tc>
          <w:tcPr/>
          <w:p>
            <w:pPr>
              <w:pStyle w:val="Compact"/>
            </w:pPr>
            <w:r>
              <w:t xml:space="preserve">SLA Uptime</w:t>
            </w:r>
          </w:p>
        </w:tc>
        <w:tc>
          <w:tcPr/>
          <w:p>
            <w:pPr>
              <w:pStyle w:val="Compact"/>
            </w:pPr>
            <w:r>
              <w:t xml:space="preserve">CP-8 Role</w:t>
            </w:r>
          </w:p>
        </w:tc>
      </w:tr>
      <w:tr>
        <w:tc>
          <w:tcPr/>
          <w:p>
            <w:pPr>
              <w:pStyle w:val="Compact"/>
            </w:pPr>
            <w:r>
              <w:t xml:space="preserve">MPLS-PRIMARY-01</w:t>
            </w:r>
          </w:p>
        </w:tc>
        <w:tc>
          <w:tcPr/>
          <w:p>
            <w:pPr>
              <w:pStyle w:val="Compact"/>
            </w:pPr>
            <w:r>
              <w:t xml:space="preserve">[Carrier A]</w:t>
            </w:r>
          </w:p>
        </w:tc>
        <w:tc>
          <w:tcPr/>
          <w:p>
            <w:pPr>
              <w:pStyle w:val="Compact"/>
            </w:pPr>
            <w:r>
              <w:t xml:space="preserve">MPLS</w:t>
            </w:r>
          </w:p>
        </w:tc>
        <w:tc>
          <w:tcPr/>
          <w:p>
            <w:pPr>
              <w:pStyle w:val="Compact"/>
            </w:pPr>
            <w:r>
              <w:t xml:space="preserve">[N] Mbps symmetrical</w:t>
            </w:r>
          </w:p>
        </w:tc>
        <w:tc>
          <w:tcPr/>
          <w:p>
            <w:pPr>
              <w:pStyle w:val="Compact"/>
            </w:pPr>
            <w:r>
              <w:t xml:space="preserve">99.9%</w:t>
            </w:r>
          </w:p>
        </w:tc>
        <w:tc>
          <w:tcPr/>
          <w:p>
            <w:pPr>
              <w:pStyle w:val="Compact"/>
            </w:pPr>
            <w:r>
              <w:t xml:space="preserve">Primary</w:t>
            </w:r>
          </w:p>
        </w:tc>
      </w:tr>
      <w:tr>
        <w:tc>
          <w:tcPr/>
          <w:p>
            <w:pPr>
              <w:pStyle w:val="Compact"/>
            </w:pPr>
            <w:r>
              <w:t xml:space="preserve">DIA-BACKUP-01</w:t>
            </w:r>
          </w:p>
        </w:tc>
        <w:tc>
          <w:tcPr/>
          <w:p>
            <w:pPr>
              <w:pStyle w:val="Compact"/>
            </w:pPr>
            <w:r>
              <w:t xml:space="preserve">[Carrier B]</w:t>
            </w:r>
          </w:p>
        </w:tc>
        <w:tc>
          <w:tcPr/>
          <w:p>
            <w:pPr>
              <w:pStyle w:val="Compact"/>
            </w:pPr>
            <w:r>
              <w:t xml:space="preserve">Broadband Internet</w:t>
            </w:r>
          </w:p>
        </w:tc>
        <w:tc>
          <w:tcPr/>
          <w:p>
            <w:pPr>
              <w:pStyle w:val="Compact"/>
            </w:pPr>
            <w:r>
              <w:t xml:space="preserve">[N] Mbps / [N] Mbps</w:t>
            </w:r>
          </w:p>
        </w:tc>
        <w:tc>
          <w:tcPr/>
          <w:p>
            <w:pPr>
              <w:pStyle w:val="Compact"/>
            </w:pPr>
            <w:r>
              <w:t xml:space="preserve">99.5%</w:t>
            </w:r>
          </w:p>
        </w:tc>
        <w:tc>
          <w:tcPr/>
          <w:p>
            <w:pPr>
              <w:pStyle w:val="Compact"/>
            </w:pPr>
            <w:r>
              <w:t xml:space="preserve">Backup (overlay-steered automatic failover)</w:t>
            </w:r>
          </w:p>
        </w:tc>
      </w:tr>
      <w:tr>
        <w:tc>
          <w:tcPr/>
          <w:p>
            <w:pPr>
              <w:pStyle w:val="Compact"/>
            </w:pPr>
            <w:r>
              <w:t xml:space="preserve">OOB-MGMT</w:t>
            </w:r>
          </w:p>
        </w:tc>
        <w:tc>
          <w:tcPr/>
          <w:p>
            <w:pPr>
              <w:pStyle w:val="Compact"/>
            </w:pPr>
            <w:r>
              <w:t xml:space="preserve">[Carrier C]</w:t>
            </w:r>
          </w:p>
        </w:tc>
        <w:tc>
          <w:tcPr/>
          <w:p>
            <w:pPr>
              <w:pStyle w:val="Compact"/>
            </w:pPr>
            <w:r>
              <w:t xml:space="preserve">LTE/cellular</w:t>
            </w:r>
          </w:p>
        </w:tc>
        <w:tc>
          <w:tcPr/>
          <w:p>
            <w:pPr>
              <w:pStyle w:val="Compact"/>
            </w:pPr>
            <w:r>
              <w:t xml:space="preserve">[N] Mbps / [N] Mbps</w:t>
            </w:r>
          </w:p>
        </w:tc>
        <w:tc>
          <w:tcPr/>
          <w:p>
            <w:pPr>
              <w:pStyle w:val="Compact"/>
            </w:pPr>
            <w:r>
              <w:t xml:space="preserve">Best effort</w:t>
            </w:r>
          </w:p>
        </w:tc>
        <w:tc>
          <w:tcPr/>
          <w:p>
            <w:pPr>
              <w:pStyle w:val="Compact"/>
            </w:pPr>
            <w:r>
              <w:t xml:space="preserve">Out-of-band management only</w:t>
            </w:r>
          </w:p>
        </w:tc>
      </w:tr>
    </w:tbl>
    <w:p>
      <w:pPr>
        <w:pStyle w:val="BodyText"/>
      </w:pPr>
      <w:r>
        <w:rPr>
          <w:b/>
          <w:bCs/>
        </w:rPr>
        <w:t xml:space="preserve">Failover detection threshold:</w:t>
      </w:r>
      <w:r>
        <w:t xml:space="preserve"> </w:t>
      </w:r>
      <w:r>
        <w:t xml:space="preserve">[N] ms latency or [N]% packet loss sustained for [N] seconds.</w:t>
      </w:r>
    </w:p>
    <w:p>
      <w:pPr>
        <w:pStyle w:val="BodyText"/>
      </w:pPr>
      <w:r>
        <w:rPr>
          <w:b/>
          <w:bCs/>
        </w:rPr>
        <w:t xml:space="preserve">Failover cutover time (observed in last test):</w:t>
      </w:r>
      <w:r>
        <w:t xml:space="preserve"> </w:t>
      </w:r>
      <w:r>
        <w:t xml:space="preserve">[N] seconds.</w:t>
      </w:r>
    </w:p>
    <w:p>
      <w:pPr>
        <w:pStyle w:val="BodyText"/>
      </w:pPr>
      <w:r>
        <w:rPr>
          <w:b/>
          <w:bCs/>
        </w:rPr>
        <w:t xml:space="preserve">Priority-of-service provision:</w:t>
      </w:r>
      <w:r>
        <w:t xml:space="preserve"> </w:t>
      </w:r>
      <w:r>
        <w:t xml:space="preserve">The agency has a [Tier N] support agreement with [Carrier A] that includes disaster declaration priority restoration. Reference: [Contract number or support agreement ID]. For the backup DIA circuit, [Carrier B] provides [commercial SLA]. If neither circuit is available, the out-of-band cellular management circuit provides minimal connectivity for command-and-control operations.</w:t>
      </w:r>
    </w:p>
    <w:bookmarkEnd w:id="45"/>
    <w:bookmarkEnd w:id="46"/>
    <w:bookmarkStart w:id="51" w:name="contingency-plan-testing-cp-4"/>
    <w:p>
      <w:pPr>
        <w:pStyle w:val="Heading2"/>
      </w:pPr>
      <w:r>
        <w:t xml:space="preserve">Contingency Plan Testing (CP-4)</w:t>
      </w:r>
    </w:p>
    <w:bookmarkStart w:id="47" w:name="what-fedramp-assessors-expect"/>
    <w:p>
      <w:pPr>
        <w:pStyle w:val="Heading3"/>
      </w:pPr>
      <w:r>
        <w:t xml:space="preserve">What FedRAMP Assessors Expect</w:t>
      </w:r>
    </w:p>
    <w:p>
      <w:pPr>
        <w:pStyle w:val="FirstParagraph"/>
      </w:pPr>
      <w:r>
        <w:t xml:space="preserve">CP-4 requires annual testing of the contingency plan. Confirm the FedRAMP-defined CP-4 test type for your baseline before relying on a tabletop-only year — at Moderate, tabletop exercises are generally accepted as the minimum, with functional testing expected for critical systems. What assessors specifically look for:</w:t>
      </w:r>
    </w:p>
    <w:p>
      <w:pPr>
        <w:pStyle w:val="Compact"/>
        <w:numPr>
          <w:ilvl w:val="0"/>
          <w:numId w:val="1011"/>
        </w:numPr>
      </w:pPr>
      <w:r>
        <w:rPr>
          <w:b/>
          <w:bCs/>
        </w:rPr>
        <w:t xml:space="preserve">Test plan:</w:t>
      </w:r>
      <w:r>
        <w:t xml:space="preserve"> </w:t>
      </w:r>
      <w:r>
        <w:t xml:space="preserve">a document prepared before the test that defines the scenario, objectives, participants, schedule, and metrics</w:t>
      </w:r>
    </w:p>
    <w:p>
      <w:pPr>
        <w:pStyle w:val="Compact"/>
        <w:numPr>
          <w:ilvl w:val="0"/>
          <w:numId w:val="1011"/>
        </w:numPr>
      </w:pPr>
      <w:r>
        <w:rPr>
          <w:b/>
          <w:bCs/>
        </w:rPr>
        <w:t xml:space="preserve">Test execution record:</w:t>
      </w:r>
      <w:r>
        <w:t xml:space="preserve"> </w:t>
      </w:r>
      <w:r>
        <w:t xml:space="preserve">evidence that the test actually happened — sign-in sheet or meeting record, completed test script with pass/fail for each step, metrics collected during the exercise</w:t>
      </w:r>
    </w:p>
    <w:p>
      <w:pPr>
        <w:pStyle w:val="Compact"/>
        <w:numPr>
          <w:ilvl w:val="0"/>
          <w:numId w:val="1011"/>
        </w:numPr>
      </w:pPr>
      <w:r>
        <w:rPr>
          <w:b/>
          <w:bCs/>
        </w:rPr>
        <w:t xml:space="preserve">Lessons learned:</w:t>
      </w:r>
      <w:r>
        <w:t xml:space="preserve"> </w:t>
      </w:r>
      <w:r>
        <w:t xml:space="preserve">a list of findings from the test, categorized by severity</w:t>
      </w:r>
    </w:p>
    <w:p>
      <w:pPr>
        <w:pStyle w:val="Compact"/>
        <w:numPr>
          <w:ilvl w:val="0"/>
          <w:numId w:val="1011"/>
        </w:numPr>
      </w:pPr>
      <w:r>
        <w:rPr>
          <w:b/>
          <w:bCs/>
        </w:rPr>
        <w:t xml:space="preserve">Plan update:</w:t>
      </w:r>
      <w:r>
        <w:t xml:space="preserve"> </w:t>
      </w:r>
      <w:r>
        <w:t xml:space="preserve">evidence that the CP-2 was updated to reflect lessons learned from the test</w:t>
      </w:r>
    </w:p>
    <w:p>
      <w:pPr>
        <w:pStyle w:val="FirstParagraph"/>
      </w:pPr>
      <w:r>
        <w:t xml:space="preserve">Assessors are suspicious of clean test results. A tabletop that produces zero findings is more likely to indicate an inadequate scenario than a perfectly prepared team. Include at least one deliberate complication in each test (a key team member is</w:t>
      </w:r>
      <w:r>
        <w:t xml:space="preserve"> </w:t>
      </w:r>
      <w:r>
        <w:t xml:space="preserve">“unavailable,”</w:t>
      </w:r>
      <w:r>
        <w:t xml:space="preserve"> </w:t>
      </w:r>
      <w:r>
        <w:t xml:space="preserve">a contact number in the notification tree is</w:t>
      </w:r>
      <w:r>
        <w:t xml:space="preserve"> </w:t>
      </w:r>
      <w:r>
        <w:t xml:space="preserve">“wrong,”</w:t>
      </w:r>
      <w:r>
        <w:t xml:space="preserve"> </w:t>
      </w:r>
      <w:r>
        <w:t xml:space="preserve">the backup storage site credential has</w:t>
      </w:r>
      <w:r>
        <w:t xml:space="preserve"> </w:t>
      </w:r>
      <w:r>
        <w:t xml:space="preserve">“expired”</w:t>
      </w:r>
      <w:r>
        <w:t xml:space="preserve">) to surface realistic gaps.</w:t>
      </w:r>
    </w:p>
    <w:bookmarkEnd w:id="47"/>
    <w:bookmarkStart w:id="48" w:name="annual-test-cycle"/>
    <w:p>
      <w:pPr>
        <w:pStyle w:val="Heading3"/>
      </w:pPr>
      <w:r>
        <w:t xml:space="preserve">Annual Test Cycle</w:t>
      </w:r>
    </w:p>
    <w:p>
      <w:pPr>
        <w:pStyle w:val="FirstParagraph"/>
      </w:pPr>
      <w:r>
        <w:rPr>
          <w:b/>
          <w:bCs/>
        </w:rPr>
        <w:t xml:space="preserve">Year 1 (Initial): Tabletop Exercise.</w:t>
      </w:r>
      <w:r>
        <w:t xml:space="preserve"> </w:t>
      </w:r>
      <w:r>
        <w:t xml:space="preserve">Suitable for a newly created contingency plan. Use the scenario and agenda below.</w:t>
      </w:r>
    </w:p>
    <w:p>
      <w:pPr>
        <w:pStyle w:val="BodyText"/>
      </w:pPr>
      <w:r>
        <w:rPr>
          <w:b/>
          <w:bCs/>
        </w:rPr>
        <w:t xml:space="preserve">Year 2: Functional Test.</w:t>
      </w:r>
      <w:r>
        <w:t xml:space="preserve"> </w:t>
      </w:r>
      <w:r>
        <w:t xml:space="preserve">Requires actually failing over at least one critical system to the alternate site and measuring recovery time against the documented RTO.</w:t>
      </w:r>
    </w:p>
    <w:p>
      <w:pPr>
        <w:pStyle w:val="BodyText"/>
      </w:pPr>
      <w:r>
        <w:rPr>
          <w:b/>
          <w:bCs/>
        </w:rPr>
        <w:t xml:space="preserve">Year 3: Full Recovery Test.</w:t>
      </w:r>
      <w:r>
        <w:t xml:space="preserve"> </w:t>
      </w:r>
      <w:r>
        <w:t xml:space="preserve">Recommend for agencies with high-criticality systems. Simulate complete loss of the primary site and execute all Section 5 recovery procedures in sequence.</w:t>
      </w:r>
    </w:p>
    <w:p>
      <w:pPr>
        <w:pStyle w:val="BodyText"/>
      </w:pPr>
      <w:r>
        <w:t xml:space="preserve">Return to Year 1 after a Year 3 full recovery test, or after a major architecture change that resets the test baseline.</w:t>
      </w:r>
    </w:p>
    <w:bookmarkEnd w:id="48"/>
    <w:bookmarkStart w:id="49" w:name="tabletop-exercise-ransomware-scenario"/>
    <w:p>
      <w:pPr>
        <w:pStyle w:val="Heading3"/>
      </w:pPr>
      <w:r>
        <w:t xml:space="preserve">Tabletop Exercise: Ransomware Scenario</w:t>
      </w:r>
    </w:p>
    <w:p>
      <w:pPr>
        <w:pStyle w:val="FirstParagraph"/>
      </w:pPr>
      <w:r>
        <w:rPr>
          <w:b/>
          <w:bCs/>
        </w:rPr>
        <w:t xml:space="preserve">Scenario.</w:t>
      </w:r>
      <w:r>
        <w:t xml:space="preserve"> </w:t>
      </w:r>
      <w:r>
        <w:t xml:space="preserve">At 9:15 AM on a Tuesday morning, the Security Operations Center receives alerts from the endpoint detection system indicating lateral movement across the network and encrypted files on three Windows servers. By 9:30 AM, the SQL primary database server is unresponsive and the IT team suspects ransomware has encrypted the database files. The primary cloud region hosting application workloads shows degraded performance. At 9:45 AM, the CPC is notified.</w:t>
      </w:r>
    </w:p>
    <w:p>
      <w:pPr>
        <w:pStyle w:val="BodyText"/>
      </w:pPr>
      <w:r>
        <w:rPr>
          <w:b/>
          <w:bCs/>
        </w:rPr>
        <w:t xml:space="preserve">Objectives.</w:t>
      </w:r>
      <w:r>
        <w:t xml:space="preserve"> </w:t>
      </w:r>
      <w:r>
        <w:t xml:space="preserve">1. Practice the activation and notification procedures from Section 4</w:t>
      </w:r>
      <w:r>
        <w:t xml:space="preserve"> </w:t>
      </w:r>
      <w:r>
        <w:t xml:space="preserve">2. Identify which recovery procedures from Section 5 would be invoked, in what order</w:t>
      </w:r>
      <w:r>
        <w:t xml:space="preserve"> </w:t>
      </w:r>
      <w:r>
        <w:t xml:space="preserve">3. Surface gaps in the notification tree and contact roster</w:t>
      </w:r>
      <w:r>
        <w:t xml:space="preserve"> </w:t>
      </w:r>
      <w:r>
        <w:t xml:space="preserve">4. Exercise the decision to fail over to async DR replica (accepting data loss up to RPO)</w:t>
      </w:r>
      <w:r>
        <w:t xml:space="preserve"> </w:t>
      </w:r>
      <w:r>
        <w:t xml:space="preserve">5. Practice the management update briefing format</w:t>
      </w:r>
    </w:p>
    <w:p>
      <w:pPr>
        <w:pStyle w:val="BodyText"/>
      </w:pPr>
      <w:r>
        <w:rPr>
          <w:b/>
          <w:bCs/>
        </w:rPr>
        <w:t xml:space="preserve">Agenda (2 hours).</w:t>
      </w:r>
    </w:p>
    <w:p>
      <w:pPr>
        <w:pStyle w:val="TableCaption"/>
      </w:pPr>
      <w:r>
        <w:t xml:space="preserve">Tabletop Exercise Agenda</w:t>
      </w:r>
    </w:p>
    <w:tbl>
      <w:tblPr>
        <w:tblStyle w:val="Table"/>
        <w:tblW w:type="pct" w:w="5000"/>
        <w:tblLayout w:type="fixed"/>
        <w:tblLook w:firstRow="1" w:lastRow="0" w:firstColumn="0" w:lastColumn="0" w:noHBand="0" w:noVBand="0" w:val="0020"/>
        <w:tblCaption w:val="Tabletop Exercise Agenda"/>
      </w:tblPr>
      <w:tblGrid>
        <w:gridCol w:w="2640"/>
        <w:gridCol w:w="2640"/>
        <w:gridCol w:w="2640"/>
      </w:tblGrid>
      <w:tr>
        <w:trPr>
          <w:tblHeader w:val="on"/>
        </w:trPr>
        <w:tc>
          <w:tcPr/>
          <w:p>
            <w:pPr>
              <w:pStyle w:val="Compact"/>
            </w:pPr>
            <w:r>
              <w:t xml:space="preserve">Time</w:t>
            </w:r>
          </w:p>
        </w:tc>
        <w:tc>
          <w:tcPr/>
          <w:p>
            <w:pPr>
              <w:pStyle w:val="Compact"/>
            </w:pPr>
            <w:r>
              <w:t xml:space="preserve">Activity</w:t>
            </w:r>
          </w:p>
        </w:tc>
        <w:tc>
          <w:tcPr/>
          <w:p>
            <w:pPr>
              <w:pStyle w:val="Compact"/>
            </w:pPr>
            <w:r>
              <w:t xml:space="preserve">Facilitator Notes</w:t>
            </w:r>
          </w:p>
        </w:tc>
      </w:tr>
      <w:tr>
        <w:tc>
          <w:tcPr/>
          <w:p>
            <w:pPr>
              <w:pStyle w:val="Compact"/>
            </w:pPr>
            <w:r>
              <w:t xml:space="preserve">0:00–0:10</w:t>
            </w:r>
          </w:p>
        </w:tc>
        <w:tc>
          <w:tcPr/>
          <w:p>
            <w:pPr>
              <w:pStyle w:val="Compact"/>
            </w:pPr>
            <w:r>
              <w:t xml:space="preserve">Scenario introduction and ground rules</w:t>
            </w:r>
          </w:p>
        </w:tc>
        <w:tc>
          <w:tcPr/>
          <w:p>
            <w:pPr>
              <w:pStyle w:val="Compact"/>
            </w:pPr>
            <w:r>
              <w:t xml:space="preserve">Read scenario aloud; confirm all participants have their assigned roles</w:t>
            </w:r>
          </w:p>
        </w:tc>
      </w:tr>
      <w:tr>
        <w:tc>
          <w:tcPr/>
          <w:p>
            <w:pPr>
              <w:pStyle w:val="Compact"/>
            </w:pPr>
            <w:r>
              <w:t xml:space="preserve">0:10–0:25</w:t>
            </w:r>
          </w:p>
        </w:tc>
        <w:tc>
          <w:tcPr/>
          <w:p>
            <w:pPr>
              <w:pStyle w:val="Compact"/>
            </w:pPr>
            <w:r>
              <w:t xml:space="preserve">Activation decision</w:t>
            </w:r>
          </w:p>
        </w:tc>
        <w:tc>
          <w:tcPr/>
          <w:p>
            <w:pPr>
              <w:pStyle w:val="Compact"/>
            </w:pPr>
            <w:r>
              <w:t xml:space="preserve">Inject: CPC is in a meeting with external stakeholders; alternate CPC must make the call. Does alternate CPC know they have this authority?</w:t>
            </w:r>
          </w:p>
        </w:tc>
      </w:tr>
      <w:tr>
        <w:tc>
          <w:tcPr/>
          <w:p>
            <w:pPr>
              <w:pStyle w:val="Compact"/>
            </w:pPr>
            <w:r>
              <w:t xml:space="preserve">0:25–0:45</w:t>
            </w:r>
          </w:p>
        </w:tc>
        <w:tc>
          <w:tcPr/>
          <w:p>
            <w:pPr>
              <w:pStyle w:val="Compact"/>
            </w:pPr>
            <w:r>
              <w:t xml:space="preserve">Notification exercise</w:t>
            </w:r>
          </w:p>
        </w:tc>
        <w:tc>
          <w:tcPr/>
          <w:p>
            <w:pPr>
              <w:pStyle w:val="Compact"/>
            </w:pPr>
            <w:r>
              <w:t xml:space="preserve">Walk notification tree step by step; have participants call out the action they would take. Inject: one IT Recovery Team Lead’s phone number in the roster is wrong.</w:t>
            </w:r>
          </w:p>
        </w:tc>
      </w:tr>
      <w:tr>
        <w:tc>
          <w:tcPr/>
          <w:p>
            <w:pPr>
              <w:pStyle w:val="Compact"/>
            </w:pPr>
            <w:r>
              <w:t xml:space="preserve">0:45–1:05</w:t>
            </w:r>
          </w:p>
        </w:tc>
        <w:tc>
          <w:tcPr/>
          <w:p>
            <w:pPr>
              <w:pStyle w:val="Compact"/>
            </w:pPr>
            <w:r>
              <w:t xml:space="preserve">Recovery sequencing</w:t>
            </w:r>
          </w:p>
        </w:tc>
        <w:tc>
          <w:tcPr/>
          <w:p>
            <w:pPr>
              <w:pStyle w:val="Compact"/>
            </w:pPr>
            <w:r>
              <w:t xml:space="preserve">Which systems are recovered first? In what order? What is the expected time for each? Inject: the synchronous AG replica is in the same region and also affected; only the async DR replica is clean.</w:t>
            </w:r>
          </w:p>
        </w:tc>
      </w:tr>
      <w:tr>
        <w:tc>
          <w:tcPr/>
          <w:p>
            <w:pPr>
              <w:pStyle w:val="Compact"/>
            </w:pPr>
            <w:r>
              <w:t xml:space="preserve">1:05–1:20</w:t>
            </w:r>
          </w:p>
        </w:tc>
        <w:tc>
          <w:tcPr/>
          <w:p>
            <w:pPr>
              <w:pStyle w:val="Compact"/>
            </w:pPr>
            <w:r>
              <w:t xml:space="preserve">Management briefing simulation</w:t>
            </w:r>
          </w:p>
        </w:tc>
        <w:tc>
          <w:tcPr/>
          <w:p>
            <w:pPr>
              <w:pStyle w:val="Compact"/>
            </w:pPr>
            <w:r>
              <w:t xml:space="preserve">CPC role-plays briefing the Management Team at the one-hour mark. What information is available? What decisions are needed?</w:t>
            </w:r>
          </w:p>
        </w:tc>
      </w:tr>
      <w:tr>
        <w:tc>
          <w:tcPr/>
          <w:p>
            <w:pPr>
              <w:pStyle w:val="Compact"/>
            </w:pPr>
            <w:r>
              <w:t xml:space="preserve">1:20–1:45</w:t>
            </w:r>
          </w:p>
        </w:tc>
        <w:tc>
          <w:tcPr/>
          <w:p>
            <w:pPr>
              <w:pStyle w:val="Compact"/>
            </w:pPr>
            <w:r>
              <w:t xml:space="preserve">Gap identification</w:t>
            </w:r>
          </w:p>
        </w:tc>
        <w:tc>
          <w:tcPr/>
          <w:p>
            <w:pPr>
              <w:pStyle w:val="Compact"/>
            </w:pPr>
            <w:r>
              <w:t xml:space="preserve">Open discussion: what information did participants need that they could not find? What procedures were unclear? What contacts were missing?</w:t>
            </w:r>
          </w:p>
        </w:tc>
      </w:tr>
      <w:tr>
        <w:tc>
          <w:tcPr/>
          <w:p>
            <w:pPr>
              <w:pStyle w:val="Compact"/>
            </w:pPr>
            <w:r>
              <w:t xml:space="preserve">1:45–2:00</w:t>
            </w:r>
          </w:p>
        </w:tc>
        <w:tc>
          <w:tcPr/>
          <w:p>
            <w:pPr>
              <w:pStyle w:val="Compact"/>
            </w:pPr>
            <w:r>
              <w:t xml:space="preserve">Close and next steps</w:t>
            </w:r>
          </w:p>
        </w:tc>
        <w:tc>
          <w:tcPr/>
          <w:p>
            <w:pPr>
              <w:pStyle w:val="Compact"/>
            </w:pPr>
            <w:r>
              <w:t xml:space="preserve">Facilitator summarizes gaps; assigns owners and due dates for plan updates</w:t>
            </w:r>
          </w:p>
        </w:tc>
      </w:tr>
    </w:tbl>
    <w:p>
      <w:pPr>
        <w:pStyle w:val="BodyText"/>
      </w:pPr>
      <w:r>
        <w:rPr>
          <w:b/>
          <w:bCs/>
        </w:rPr>
        <w:t xml:space="preserve">Test metrics to record.</w:t>
      </w:r>
    </w:p>
    <w:p>
      <w:pPr>
        <w:pStyle w:val="TableCaption"/>
      </w:pPr>
      <w:r>
        <w:t xml:space="preserve">Tabletop Exercise Test Metrics</w:t>
      </w:r>
    </w:p>
    <w:tbl>
      <w:tblPr>
        <w:tblStyle w:val="Table"/>
        <w:tblW w:type="pct" w:w="5000"/>
        <w:tblLayout w:type="fixed"/>
        <w:tblLook w:firstRow="1" w:lastRow="0" w:firstColumn="0" w:lastColumn="0" w:noHBand="0" w:noVBand="0" w:val="0020"/>
        <w:tblCaption w:val="Tabletop Exercise Test Metrics"/>
      </w:tblPr>
      <w:tblGrid>
        <w:gridCol w:w="2640"/>
        <w:gridCol w:w="2640"/>
        <w:gridCol w:w="2640"/>
      </w:tblGrid>
      <w:tr>
        <w:trPr>
          <w:tblHeader w:val="on"/>
        </w:trPr>
        <w:tc>
          <w:tcPr/>
          <w:p>
            <w:pPr>
              <w:pStyle w:val="Compact"/>
            </w:pPr>
            <w:r>
              <w:t xml:space="preserve">Metric</w:t>
            </w:r>
          </w:p>
        </w:tc>
        <w:tc>
          <w:tcPr/>
          <w:p>
            <w:pPr>
              <w:pStyle w:val="Compact"/>
            </w:pPr>
            <w:r>
              <w:t xml:space="preserve">Target</w:t>
            </w:r>
          </w:p>
        </w:tc>
        <w:tc>
          <w:tcPr/>
          <w:p>
            <w:pPr>
              <w:pStyle w:val="Compact"/>
            </w:pPr>
            <w:r>
              <w:t xml:space="preserve">Actual (Record During Exercise)</w:t>
            </w:r>
          </w:p>
        </w:tc>
      </w:tr>
      <w:tr>
        <w:tc>
          <w:tcPr/>
          <w:p>
            <w:pPr>
              <w:pStyle w:val="Compact"/>
            </w:pPr>
            <w:r>
              <w:t xml:space="preserve">Time from scenario inject to activation declaration</w:t>
            </w:r>
          </w:p>
        </w:tc>
        <w:tc>
          <w:tcPr/>
          <w:p>
            <w:pPr>
              <w:pStyle w:val="Compact"/>
            </w:pPr>
            <w:r>
              <w:t xml:space="preserve">&lt; 30 minutes</w:t>
            </w:r>
          </w:p>
        </w:tc>
        <w:tc>
          <w:tcPr/>
          <w:p>
            <w:pPr>
              <w:pStyle w:val="Compact"/>
            </w:pPr>
            <w:r>
              <w:t xml:space="preserve">[Record actual]</w:t>
            </w:r>
          </w:p>
        </w:tc>
      </w:tr>
      <w:tr>
        <w:tc>
          <w:tcPr/>
          <w:p>
            <w:pPr>
              <w:pStyle w:val="Compact"/>
            </w:pPr>
            <w:r>
              <w:t xml:space="preserve">Time from activation to notification of all Recovery Team Leads</w:t>
            </w:r>
          </w:p>
        </w:tc>
        <w:tc>
          <w:tcPr/>
          <w:p>
            <w:pPr>
              <w:pStyle w:val="Compact"/>
            </w:pPr>
            <w:r>
              <w:t xml:space="preserve">&lt; 15 minutes</w:t>
            </w:r>
          </w:p>
        </w:tc>
        <w:tc>
          <w:tcPr/>
          <w:p>
            <w:pPr>
              <w:pStyle w:val="Compact"/>
            </w:pPr>
            <w:r>
              <w:t xml:space="preserve">[Record actual]</w:t>
            </w:r>
          </w:p>
        </w:tc>
      </w:tr>
      <w:tr>
        <w:tc>
          <w:tcPr/>
          <w:p>
            <w:pPr>
              <w:pStyle w:val="Compact"/>
            </w:pPr>
            <w:r>
              <w:t xml:space="preserve">Percentage of contacts in notification tree reachable on first attempt</w:t>
            </w:r>
          </w:p>
        </w:tc>
        <w:tc>
          <w:tcPr/>
          <w:p>
            <w:pPr>
              <w:pStyle w:val="Compact"/>
            </w:pPr>
            <w:r>
              <w:t xml:space="preserve">&gt; 90%</w:t>
            </w:r>
          </w:p>
        </w:tc>
        <w:tc>
          <w:tcPr/>
          <w:p>
            <w:pPr>
              <w:pStyle w:val="Compact"/>
            </w:pPr>
            <w:r>
              <w:t xml:space="preserve">[Record actual]</w:t>
            </w:r>
          </w:p>
        </w:tc>
      </w:tr>
      <w:tr>
        <w:tc>
          <w:tcPr/>
          <w:p>
            <w:pPr>
              <w:pStyle w:val="Compact"/>
            </w:pPr>
            <w:r>
              <w:t xml:space="preserve">Percentage of recovery procedures located within 2 minutes</w:t>
            </w:r>
          </w:p>
        </w:tc>
        <w:tc>
          <w:tcPr/>
          <w:p>
            <w:pPr>
              <w:pStyle w:val="Compact"/>
            </w:pPr>
            <w:r>
              <w:t xml:space="preserve">100%</w:t>
            </w:r>
          </w:p>
        </w:tc>
        <w:tc>
          <w:tcPr/>
          <w:p>
            <w:pPr>
              <w:pStyle w:val="Compact"/>
            </w:pPr>
            <w:r>
              <w:t xml:space="preserve">[Record actual]</w:t>
            </w:r>
          </w:p>
        </w:tc>
      </w:tr>
      <w:tr>
        <w:tc>
          <w:tcPr/>
          <w:p>
            <w:pPr>
              <w:pStyle w:val="Compact"/>
            </w:pPr>
            <w:r>
              <w:t xml:space="preserve">Completeness of management briefing (did it include all required elements?)</w:t>
            </w:r>
          </w:p>
        </w:tc>
        <w:tc>
          <w:tcPr/>
          <w:p>
            <w:pPr>
              <w:pStyle w:val="Compact"/>
            </w:pPr>
            <w:r>
              <w:t xml:space="preserve">100%</w:t>
            </w:r>
          </w:p>
        </w:tc>
        <w:tc>
          <w:tcPr/>
          <w:p>
            <w:pPr>
              <w:pStyle w:val="Compact"/>
            </w:pPr>
            <w:r>
              <w:t xml:space="preserve">[Record actual]</w:t>
            </w:r>
          </w:p>
        </w:tc>
      </w:tr>
    </w:tbl>
    <w:bookmarkEnd w:id="49"/>
    <w:bookmarkStart w:id="50" w:name="after-action-report-template"/>
    <w:p>
      <w:pPr>
        <w:pStyle w:val="Heading3"/>
      </w:pPr>
      <w:r>
        <w:t xml:space="preserve">After-Action Report Template</w:t>
      </w:r>
    </w:p>
    <w:p>
      <w:pPr>
        <w:pStyle w:val="FirstParagraph"/>
      </w:pPr>
      <w:r>
        <w:t xml:space="preserve">The AAR is the artifact that ties the test evidence together and demonstrates to assessors that findings are being tracked and resolved.</w:t>
      </w:r>
    </w:p>
    <w:p>
      <w:pPr>
        <w:pStyle w:val="BodyText"/>
      </w:pPr>
      <w:r>
        <w:rPr>
          <w:b/>
          <w:bCs/>
        </w:rPr>
        <w:t xml:space="preserve">Section 1 — Exercise Summary.</w:t>
      </w:r>
      <w:r>
        <w:t xml:space="preserve"> </w:t>
      </w:r>
      <w:r>
        <w:t xml:space="preserve">Date, location, participants, scenario, duration.</w:t>
      </w:r>
    </w:p>
    <w:p>
      <w:pPr>
        <w:pStyle w:val="BodyText"/>
      </w:pPr>
      <w:r>
        <w:rPr>
          <w:b/>
          <w:bCs/>
        </w:rPr>
        <w:t xml:space="preserve">Section 2 — What Worked Well.</w:t>
      </w:r>
      <w:r>
        <w:t xml:space="preserve"> </w:t>
      </w:r>
      <w:r>
        <w:t xml:space="preserve">List specific procedures or team behaviors that performed as expected. Be specific:</w:t>
      </w:r>
      <w:r>
        <w:t xml:space="preserve"> </w:t>
      </w:r>
      <w:r>
        <w:t xml:space="preserve">“The Network Recovery Lead identified the SD-WAN failover status within three minutes of the scenario inject using the monitoring dashboard procedure in Appendix A-1.”</w:t>
      </w:r>
    </w:p>
    <w:p>
      <w:pPr>
        <w:pStyle w:val="BodyText"/>
      </w:pPr>
      <w:r>
        <w:rPr>
          <w:b/>
          <w:bCs/>
        </w:rPr>
        <w:t xml:space="preserve">Section 3 — Findings.</w:t>
      </w:r>
      <w:r>
        <w:t xml:space="preserve"> </w:t>
      </w:r>
      <w:r>
        <w:t xml:space="preserve">Structured finding format:</w:t>
      </w:r>
    </w:p>
    <w:p>
      <w:pPr>
        <w:pStyle w:val="TableCaption"/>
      </w:pPr>
      <w:r>
        <w:t xml:space="preserve">AAR Findings Tracker</w:t>
      </w:r>
    </w:p>
    <w:tbl>
      <w:tblPr>
        <w:tblStyle w:val="Table"/>
        <w:tblW w:type="pct" w:w="5000"/>
        <w:tblLayout w:type="fixed"/>
        <w:tblLook w:firstRow="1" w:lastRow="0" w:firstColumn="0" w:lastColumn="0" w:noHBand="0" w:noVBand="0" w:val="0020"/>
        <w:tblCaption w:val="AAR Findings Tracker"/>
      </w:tblPr>
      <w:tblGrid>
        <w:gridCol w:w="1131"/>
        <w:gridCol w:w="1131"/>
        <w:gridCol w:w="1131"/>
        <w:gridCol w:w="1131"/>
        <w:gridCol w:w="1131"/>
        <w:gridCol w:w="1131"/>
        <w:gridCol w:w="1131"/>
      </w:tblGrid>
      <w:tr>
        <w:trPr>
          <w:tblHeader w:val="on"/>
        </w:trPr>
        <w:tc>
          <w:tcPr/>
          <w:p>
            <w:pPr>
              <w:pStyle w:val="Compact"/>
            </w:pPr>
            <w:r>
              <w:t xml:space="preserve">Finding ID</w:t>
            </w:r>
          </w:p>
        </w:tc>
        <w:tc>
          <w:tcPr/>
          <w:p>
            <w:pPr>
              <w:pStyle w:val="Compact"/>
            </w:pPr>
            <w:r>
              <w:t xml:space="preserve">Category</w:t>
            </w:r>
          </w:p>
        </w:tc>
        <w:tc>
          <w:tcPr/>
          <w:p>
            <w:pPr>
              <w:pStyle w:val="Compact"/>
            </w:pPr>
            <w:r>
              <w:t xml:space="preserve">Description</w:t>
            </w:r>
          </w:p>
        </w:tc>
        <w:tc>
          <w:tcPr/>
          <w:p>
            <w:pPr>
              <w:pStyle w:val="Compact"/>
            </w:pPr>
            <w:r>
              <w:t xml:space="preserve">Root Cause</w:t>
            </w:r>
          </w:p>
        </w:tc>
        <w:tc>
          <w:tcPr/>
          <w:p>
            <w:pPr>
              <w:pStyle w:val="Compact"/>
            </w:pPr>
            <w:r>
              <w:t xml:space="preserve">Corrective Action</w:t>
            </w:r>
          </w:p>
        </w:tc>
        <w:tc>
          <w:tcPr/>
          <w:p>
            <w:pPr>
              <w:pStyle w:val="Compact"/>
            </w:pPr>
            <w:r>
              <w:t xml:space="preserve">Owner</w:t>
            </w:r>
          </w:p>
        </w:tc>
        <w:tc>
          <w:tcPr/>
          <w:p>
            <w:pPr>
              <w:pStyle w:val="Compact"/>
            </w:pPr>
            <w:r>
              <w:t xml:space="preserve">Due Date</w:t>
            </w:r>
          </w:p>
        </w:tc>
      </w:tr>
      <w:tr>
        <w:tc>
          <w:tcPr/>
          <w:p>
            <w:pPr>
              <w:pStyle w:val="Compact"/>
            </w:pPr>
            <w:r>
              <w:t xml:space="preserve">AAR-2026-01</w:t>
            </w:r>
          </w:p>
        </w:tc>
        <w:tc>
          <w:tcPr/>
          <w:p>
            <w:pPr>
              <w:pStyle w:val="Compact"/>
            </w:pPr>
            <w:r>
              <w:t xml:space="preserve">Contact Information</w:t>
            </w:r>
          </w:p>
        </w:tc>
        <w:tc>
          <w:tcPr/>
          <w:p>
            <w:pPr>
              <w:pStyle w:val="Compact"/>
            </w:pPr>
            <w:r>
              <w:t xml:space="preserve">Alternate CPC’s mobile number in the notification tree was for a former employee</w:t>
            </w:r>
          </w:p>
        </w:tc>
        <w:tc>
          <w:tcPr/>
          <w:p>
            <w:pPr>
              <w:pStyle w:val="Compact"/>
            </w:pPr>
            <w:r>
              <w:t xml:space="preserve">Roster not updated following personnel change</w:t>
            </w:r>
          </w:p>
        </w:tc>
        <w:tc>
          <w:tcPr/>
          <w:p>
            <w:pPr>
              <w:pStyle w:val="Compact"/>
            </w:pPr>
            <w:r>
              <w:t xml:space="preserve">Update contact roster; add quarterly roster review to IT Manager calendar</w:t>
            </w:r>
          </w:p>
        </w:tc>
        <w:tc>
          <w:tcPr/>
          <w:p>
            <w:pPr>
              <w:pStyle w:val="Compact"/>
            </w:pPr>
            <w:r>
              <w:t xml:space="preserve">ISSO</w:t>
            </w:r>
          </w:p>
        </w:tc>
        <w:tc>
          <w:tcPr/>
          <w:p>
            <w:pPr>
              <w:pStyle w:val="Compact"/>
            </w:pPr>
            <w:r>
              <w:t xml:space="preserve">30 days</w:t>
            </w:r>
          </w:p>
        </w:tc>
      </w:tr>
      <w:tr>
        <w:tc>
          <w:tcPr/>
          <w:p>
            <w:pPr>
              <w:pStyle w:val="Compact"/>
            </w:pPr>
            <w:r>
              <w:t xml:space="preserve">AAR-2026-02</w:t>
            </w:r>
          </w:p>
        </w:tc>
        <w:tc>
          <w:tcPr/>
          <w:p>
            <w:pPr>
              <w:pStyle w:val="Compact"/>
            </w:pPr>
            <w:r>
              <w:t xml:space="preserve">Recovery Procedures</w:t>
            </w:r>
          </w:p>
        </w:tc>
        <w:tc>
          <w:tcPr/>
          <w:p>
            <w:pPr>
              <w:pStyle w:val="Compact"/>
            </w:pPr>
            <w:r>
              <w:t xml:space="preserve">Team was unsure of the RPO implication when failing over to async DR replica</w:t>
            </w:r>
          </w:p>
        </w:tc>
        <w:tc>
          <w:tcPr/>
          <w:p>
            <w:pPr>
              <w:pStyle w:val="Compact"/>
            </w:pPr>
            <w:r>
              <w:t xml:space="preserve">Procedure does not state the RPO value explicitly</w:t>
            </w:r>
          </w:p>
        </w:tc>
        <w:tc>
          <w:tcPr/>
          <w:p>
            <w:pPr>
              <w:pStyle w:val="Compact"/>
            </w:pPr>
            <w:r>
              <w:t xml:space="preserve">Add RPO callout box to Appendix B-2 introduction</w:t>
            </w:r>
          </w:p>
        </w:tc>
        <w:tc>
          <w:tcPr/>
          <w:p>
            <w:pPr>
              <w:pStyle w:val="Compact"/>
            </w:pPr>
            <w:r>
              <w:t xml:space="preserve">Database Recovery Lead</w:t>
            </w:r>
          </w:p>
        </w:tc>
        <w:tc>
          <w:tcPr/>
          <w:p>
            <w:pPr>
              <w:pStyle w:val="Compact"/>
            </w:pPr>
            <w:r>
              <w:t xml:space="preserve">30 days</w:t>
            </w:r>
          </w:p>
        </w:tc>
      </w:tr>
    </w:tbl>
    <w:p>
      <w:pPr>
        <w:pStyle w:val="BodyText"/>
      </w:pPr>
      <w:r>
        <w:rPr>
          <w:b/>
          <w:bCs/>
        </w:rPr>
        <w:t xml:space="preserve">Section 4 — Plan Updates Required.</w:t>
      </w:r>
      <w:r>
        <w:t xml:space="preserve"> </w:t>
      </w:r>
      <w:r>
        <w:t xml:space="preserve">List each section of the CP-2 that must be updated, the required change, and the target date.</w:t>
      </w:r>
    </w:p>
    <w:p>
      <w:pPr>
        <w:pStyle w:val="BodyText"/>
      </w:pPr>
      <w:r>
        <w:rPr>
          <w:b/>
          <w:bCs/>
        </w:rPr>
        <w:t xml:space="preserve">Section 5 — Approvals.</w:t>
      </w:r>
      <w:r>
        <w:t xml:space="preserve"> </w:t>
      </w:r>
      <w:r>
        <w:t xml:space="preserve">CPC signature, ISSO signature, date. This signed AAR is the CP-4 evidence artifact.</w:t>
      </w:r>
    </w:p>
    <w:bookmarkEnd w:id="50"/>
    <w:bookmarkEnd w:id="51"/>
    <w:bookmarkStart w:id="52" w:name="X252da7d358a7582147f0033b593e6a914a9f417"/>
    <w:p>
      <w:pPr>
        <w:pStyle w:val="Heading2"/>
      </w:pPr>
      <w:r>
        <w:t xml:space="preserve">Multi-Cloud Continuity and Disaster Recovery</w:t>
      </w:r>
    </w:p>
    <w:p>
      <w:pPr>
        <w:pStyle w:val="FirstParagraph"/>
      </w:pPr>
      <w:r>
        <w:t xml:space="preserve">The CP-6 / CP-7 / CP-8 architecture above is realized on the Microsoft estate</w:t>
      </w:r>
      <w:r>
        <w:t xml:space="preserve"> </w:t>
      </w:r>
      <w:r>
        <w:t xml:space="preserve">(Azure Site Recovery, Azure Backup). A multi-cloud agency must also satisfy</w:t>
      </w:r>
      <w:r>
        <w:t xml:space="preserve"> </w:t>
      </w:r>
      <w:r>
        <w:rPr>
          <w:b/>
          <w:bCs/>
        </w:rPr>
        <w:t xml:space="preserve">CP-9 (backup)</w:t>
      </w:r>
      <w:r>
        <w:t xml:space="preserve"> </w:t>
      </w:r>
      <w:r>
        <w:t xml:space="preserve">and</w:t>
      </w:r>
      <w:r>
        <w:t xml:space="preserve"> </w:t>
      </w:r>
      <w:r>
        <w:rPr>
          <w:b/>
          <w:bCs/>
        </w:rPr>
        <w:t xml:space="preserve">CP-10 (recovery)</w:t>
      </w:r>
      <w:r>
        <w:t xml:space="preserve"> </w:t>
      </w:r>
      <w:r>
        <w:t xml:space="preserve">for workloads on</w:t>
      </w:r>
      <w:r>
        <w:t xml:space="preserve"> </w:t>
      </w:r>
      <w:r>
        <w:rPr>
          <w:b/>
          <w:bCs/>
        </w:rPr>
        <w:t xml:space="preserve">AWS GovCloud</w:t>
      </w:r>
      <w:r>
        <w:t xml:space="preserve">,</w:t>
      </w:r>
      <w:r>
        <w:t xml:space="preserve"> </w:t>
      </w:r>
      <w:r>
        <w:rPr>
          <w:b/>
          <w:bCs/>
        </w:rPr>
        <w:t xml:space="preserve">Oracle OCI</w:t>
      </w:r>
      <w:r>
        <w:t xml:space="preserve">, and</w:t>
      </w:r>
      <w:r>
        <w:t xml:space="preserve"> </w:t>
      </w:r>
      <w:r>
        <w:rPr>
          <w:b/>
          <w:bCs/>
        </w:rPr>
        <w:t xml:space="preserve">VMware</w:t>
      </w:r>
      <w:r>
        <w:t xml:space="preserve"> </w:t>
      </w:r>
      <w:r>
        <w:t xml:space="preserve">— each with its own native DR/backup service, and</w:t>
      </w:r>
      <w:r>
        <w:t xml:space="preserve"> </w:t>
      </w:r>
      <w:r>
        <w:t xml:space="preserve">each producing its own RTO/RPO evidence.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Platform</w:t>
            </w:r>
          </w:p>
        </w:tc>
        <w:tc>
          <w:tcPr/>
          <w:p>
            <w:pPr>
              <w:pStyle w:val="Compact"/>
            </w:pPr>
            <w:r>
              <w:t xml:space="preserve">Backup / DR service</w:t>
            </w:r>
          </w:p>
        </w:tc>
      </w:tr>
      <w:tr>
        <w:tc>
          <w:tcPr/>
          <w:p>
            <w:pPr>
              <w:pStyle w:val="Compact"/>
            </w:pPr>
            <w:r>
              <w:t xml:space="preserve">Microsoft</w:t>
            </w:r>
          </w:p>
        </w:tc>
        <w:tc>
          <w:tcPr/>
          <w:p>
            <w:pPr>
              <w:pStyle w:val="Compact"/>
            </w:pPr>
            <w:r>
              <w:t xml:space="preserve">Azure Backup + Azure Site Recovery</w:t>
            </w:r>
          </w:p>
        </w:tc>
      </w:tr>
      <w:tr>
        <w:tc>
          <w:tcPr/>
          <w:p>
            <w:pPr>
              <w:pStyle w:val="Compact"/>
            </w:pPr>
            <w:r>
              <w:t xml:space="preserve">AWS</w:t>
            </w:r>
          </w:p>
        </w:tc>
        <w:tc>
          <w:tcPr/>
          <w:p>
            <w:pPr>
              <w:pStyle w:val="Compact"/>
            </w:pPr>
            <w:r>
              <w:t xml:space="preserve">AWS Backup + AWS Elastic Disaster Recovery (DRS)</w:t>
            </w:r>
          </w:p>
        </w:tc>
      </w:tr>
      <w:tr>
        <w:tc>
          <w:tcPr/>
          <w:p>
            <w:pPr>
              <w:pStyle w:val="Compact"/>
            </w:pPr>
            <w:r>
              <w:t xml:space="preserve">Oracle OCI</w:t>
            </w:r>
          </w:p>
        </w:tc>
        <w:tc>
          <w:tcPr/>
          <w:p>
            <w:pPr>
              <w:pStyle w:val="Compact"/>
            </w:pPr>
            <w:r>
              <w:t xml:space="preserve">OCI Full Stack Disaster Recovery</w:t>
            </w:r>
          </w:p>
        </w:tc>
      </w:tr>
      <w:tr>
        <w:tc>
          <w:tcPr/>
          <w:p>
            <w:pPr>
              <w:pStyle w:val="Compact"/>
            </w:pPr>
            <w:r>
              <w:t xml:space="preserve">VMware</w:t>
            </w:r>
          </w:p>
        </w:tc>
        <w:tc>
          <w:tcPr/>
          <w:p>
            <w:pPr>
              <w:pStyle w:val="Compact"/>
            </w:pPr>
            <w:r>
              <w:t xml:space="preserve">Site Recovery Manager / vSphere Replication (recovery target may be Azure or AWS)</w:t>
            </w:r>
          </w:p>
        </w:tc>
      </w:tr>
    </w:tbl>
    <w:p>
      <w:pPr>
        <w:pStyle w:val="BodyText"/>
      </w:pPr>
      <w:r>
        <w:rPr>
          <w:b/>
          <w:bCs/>
        </w:rPr>
        <w:t xml:space="preserve">Doctrine:</w:t>
      </w:r>
      <w:r>
        <w:t xml:space="preserve"> </w:t>
      </w:r>
      <w:r>
        <w:t xml:space="preserve">DR</w:t>
      </w:r>
      <w:r>
        <w:t xml:space="preserve"> </w:t>
      </w:r>
      <w:r>
        <w:rPr>
          <w:i/>
          <w:iCs/>
        </w:rPr>
        <w:t xml:space="preserve">actuation</w:t>
      </w:r>
      <w:r>
        <w:t xml:space="preserve"> </w:t>
      </w:r>
      <w:r>
        <w:t xml:space="preserve">is platform-native — the same split the</w:t>
      </w:r>
      <w:r>
        <w:t xml:space="preserve"> </w:t>
      </w:r>
      <w:r>
        <w:t xml:space="preserve">Management-Plane Coordination Doctrine draws for patching. The unifying layer is</w:t>
      </w:r>
      <w:r>
        <w:t xml:space="preserve"> </w:t>
      </w:r>
      <w:r>
        <w:t xml:space="preserve">the</w:t>
      </w:r>
      <w:r>
        <w:t xml:space="preserve"> </w:t>
      </w:r>
      <w:r>
        <w:rPr>
          <w:b/>
          <w:bCs/>
        </w:rPr>
        <w:t xml:space="preserve">evidence contract</w:t>
      </w:r>
      <w:r>
        <w:t xml:space="preserve">: RTO/RPO test results, backup-success status, and</w:t>
      </w:r>
      <w:r>
        <w:t xml:space="preserve"> </w:t>
      </w:r>
      <w:r>
        <w:t xml:space="preserve">replication-lag records from every platform normalize into the Multi-Cloud</w:t>
      </w:r>
      <w:r>
        <w:t xml:space="preserve"> </w:t>
      </w:r>
      <w:r>
        <w:t xml:space="preserve">Evidence Fabric, so</w:t>
      </w:r>
      <w:r>
        <w:t xml:space="preserve"> </w:t>
      </w:r>
      <w:r>
        <w:rPr>
          <w:b/>
          <w:bCs/>
        </w:rPr>
        <w:t xml:space="preserve">CP-9 / CP-10</w:t>
      </w:r>
      <w:r>
        <w:t xml:space="preserve"> </w:t>
      </w:r>
      <w:r>
        <w:t xml:space="preserve">evidence is one correlated picture rather</w:t>
      </w:r>
      <w:r>
        <w:t xml:space="preserve"> </w:t>
      </w:r>
      <w:r>
        <w:t xml:space="preserve">than five disconnected dashboards. Microsoft-preference: ASR / Azure Backup is the</w:t>
      </w:r>
      <w:r>
        <w:t xml:space="preserve"> </w:t>
      </w:r>
      <w:r>
        <w:t xml:space="preserve">default for the Azure estate; cross-cloud DR is native per-platform, and</w:t>
      </w:r>
      <w:r>
        <w:t xml:space="preserve"> </w:t>
      </w:r>
      <w:r>
        <w:t xml:space="preserve">cross-cloud recovery targets (recovering VMware into Azure or AWS) are a</w:t>
      </w:r>
      <w:r>
        <w:t xml:space="preserve"> </w:t>
      </w:r>
      <w:r>
        <w:t xml:space="preserve">deliberate design choice, not an automatic one. CP-4 test records and the CP-9/10</w:t>
      </w:r>
      <w:r>
        <w:t xml:space="preserve"> </w:t>
      </w:r>
      <w:r>
        <w:t xml:space="preserve">metrics roll up through the fabric to CISA CDM and the continuity KSIs.</w:t>
      </w:r>
    </w:p>
    <w:bookmarkEnd w:id="52"/>
    <w:bookmarkStart w:id="53" w:name="X90b79eab973735b25ce356456e1af09db1835ef"/>
    <w:p>
      <w:pPr>
        <w:pStyle w:val="Heading2"/>
      </w:pPr>
      <w:r>
        <w:t xml:space="preserve">Integration with the Volume I, II, and III Books</w:t>
      </w:r>
    </w:p>
    <w:p>
      <w:pPr>
        <w:pStyle w:val="FirstParagraph"/>
      </w:pPr>
      <w:r>
        <w:t xml:space="preserve">Each prior part of this series contributes a specific capability to the CP framework. This section maps those contributions to their corresponding CP control satisfaction, enabling the Contingency Plan to reference existing technical documentation rather than re-documenting architecture.</w:t>
      </w:r>
    </w:p>
    <w:p>
      <w:pPr>
        <w:pStyle w:val="TableCaption"/>
      </w:pPr>
      <w:r>
        <w:t xml:space="preserve">Series Integration with CP Control Family</w:t>
      </w:r>
    </w:p>
    <w:tbl>
      <w:tblPr>
        <w:tblStyle w:val="Table"/>
        <w:tblW w:type="pct" w:w="5000"/>
        <w:tblLayout w:type="fixed"/>
        <w:tblLook w:firstRow="1" w:lastRow="0" w:firstColumn="0" w:lastColumn="0" w:noHBand="0" w:noVBand="0" w:val="0020"/>
        <w:tblCaption w:val="Series Integration with CP Control Family"/>
      </w:tblPr>
      <w:tblGrid>
        <w:gridCol w:w="2640"/>
        <w:gridCol w:w="2640"/>
        <w:gridCol w:w="2640"/>
      </w:tblGrid>
      <w:tr>
        <w:trPr>
          <w:tblHeader w:val="on"/>
        </w:trPr>
        <w:tc>
          <w:tcPr/>
          <w:p>
            <w:pPr>
              <w:pStyle w:val="Compact"/>
            </w:pPr>
            <w:r>
              <w:t xml:space="preserve">Series Part</w:t>
            </w:r>
          </w:p>
        </w:tc>
        <w:tc>
          <w:tcPr/>
          <w:p>
            <w:pPr>
              <w:pStyle w:val="Compact"/>
            </w:pPr>
            <w:r>
              <w:t xml:space="preserve">Capability</w:t>
            </w:r>
          </w:p>
        </w:tc>
        <w:tc>
          <w:tcPr/>
          <w:p>
            <w:pPr>
              <w:pStyle w:val="Compact"/>
            </w:pPr>
            <w:r>
              <w:t xml:space="preserve">CP Control Contribution</w:t>
            </w:r>
          </w:p>
        </w:tc>
      </w:tr>
      <w:tr>
        <w:tc>
          <w:tcPr/>
          <w:p>
            <w:pPr>
              <w:pStyle w:val="Compact"/>
            </w:pPr>
            <w:r>
              <w:t xml:space="preserve">Vol I Book 01 (DDI — DNS/DHCP/IPAM)</w:t>
            </w:r>
          </w:p>
        </w:tc>
        <w:tc>
          <w:tcPr/>
          <w:p>
            <w:pPr>
              <w:pStyle w:val="Compact"/>
            </w:pPr>
            <w:r>
              <w:t xml:space="preserve">Grid replication with alternate Grid member in DR region</w:t>
            </w:r>
          </w:p>
        </w:tc>
        <w:tc>
          <w:tcPr/>
          <w:p>
            <w:pPr>
              <w:pStyle w:val="Compact"/>
            </w:pPr>
            <w:r>
              <w:t xml:space="preserve">CP-6: alternate storage for DNS zone data; CP-7: alternate processing for name resolution; recovery-sequencing dependency: DNS must be restored before CP-7 alternate-processing cutover</w:t>
            </w:r>
          </w:p>
        </w:tc>
      </w:tr>
      <w:tr>
        <w:tc>
          <w:tcPr/>
          <w:p>
            <w:pPr>
              <w:pStyle w:val="Compact"/>
            </w:pPr>
            <w:r>
              <w:t xml:space="preserve">Vol I Book 03 (Certificates and Tokens — cryptographic identity)</w:t>
            </w:r>
          </w:p>
        </w:tc>
        <w:tc>
          <w:tcPr/>
          <w:p>
            <w:pPr>
              <w:pStyle w:val="Compact"/>
            </w:pPr>
            <w:r>
              <w:t xml:space="preserve">Cloud-hosted globally redundant identity; Conditional Access; certificate issuance and revocation continuity</w:t>
            </w:r>
          </w:p>
        </w:tc>
        <w:tc>
          <w:tcPr/>
          <w:p>
            <w:pPr>
              <w:pStyle w:val="Compact"/>
            </w:pPr>
            <w:r>
              <w:t xml:space="preserve">CP-7: identity is inherently multi-region, and certificate authority continuity ensures TLS-dependent services can be restored at the alternate site; CP-2: break-glass accounts ensure identity access independent of Conditional Access availability</w:t>
            </w:r>
          </w:p>
        </w:tc>
      </w:tr>
      <w:tr>
        <w:tc>
          <w:tcPr/>
          <w:p>
            <w:pPr>
              <w:pStyle w:val="Compact"/>
            </w:pPr>
            <w:r>
              <w:t xml:space="preserve">Vol I Book 06 (SD-WAN)</w:t>
            </w:r>
          </w:p>
        </w:tc>
        <w:tc>
          <w:tcPr/>
          <w:p>
            <w:pPr>
              <w:pStyle w:val="Compact"/>
            </w:pPr>
            <w:r>
              <w:t xml:space="preserve">Dual underlay (MPLS + DIA) governed by active-active overlay multipath with automatic path failover</w:t>
            </w:r>
          </w:p>
        </w:tc>
        <w:tc>
          <w:tcPr/>
          <w:p>
            <w:pPr>
              <w:pStyle w:val="Compact"/>
            </w:pPr>
            <w:r>
              <w:t xml:space="preserve">CP-8: primary and alternate telecommunications services — failover, resequencing, and per-class path policy live in the overlay; CP-7: alternate network path to cloud processing site</w:t>
            </w:r>
          </w:p>
        </w:tc>
      </w:tr>
      <w:tr>
        <w:tc>
          <w:tcPr/>
          <w:p>
            <w:pPr>
              <w:pStyle w:val="Compact"/>
            </w:pPr>
            <w:r>
              <w:t xml:space="preserve">Vol II Book 02 (SQL — on-premises)</w:t>
            </w:r>
          </w:p>
        </w:tc>
        <w:tc>
          <w:tcPr/>
          <w:p>
            <w:pPr>
              <w:pStyle w:val="Compact"/>
            </w:pPr>
            <w:r>
              <w:t xml:space="preserve">AG synchronous replica for RPO near zero</w:t>
            </w:r>
          </w:p>
        </w:tc>
        <w:tc>
          <w:tcPr/>
          <w:p>
            <w:pPr>
              <w:pStyle w:val="Compact"/>
            </w:pPr>
            <w:r>
              <w:t xml:space="preserve">CP-6: synchronous replica as alternate storage; CP-7: synchronous failover for minimal RTO SQL recovery</w:t>
            </w:r>
          </w:p>
        </w:tc>
      </w:tr>
      <w:tr>
        <w:tc>
          <w:tcPr/>
          <w:p>
            <w:pPr>
              <w:pStyle w:val="Compact"/>
            </w:pPr>
            <w:r>
              <w:t xml:space="preserve">Vol II Book 03 (SQL — cloud DR)</w:t>
            </w:r>
          </w:p>
        </w:tc>
        <w:tc>
          <w:tcPr/>
          <w:p>
            <w:pPr>
              <w:pStyle w:val="Compact"/>
            </w:pPr>
            <w:r>
              <w:t xml:space="preserve">AG async replica in secondary region</w:t>
            </w:r>
          </w:p>
        </w:tc>
        <w:tc>
          <w:tcPr/>
          <w:p>
            <w:pPr>
              <w:pStyle w:val="Compact"/>
            </w:pPr>
            <w:r>
              <w:t xml:space="preserve">CP-6(1): geographically separated alternate storage; CP-7(1): geographically separated alternate processing; CP-9: backup of structured data</w:t>
            </w:r>
          </w:p>
        </w:tc>
      </w:tr>
      <w:tr>
        <w:tc>
          <w:tcPr/>
          <w:p>
            <w:pPr>
              <w:pStyle w:val="Compact"/>
            </w:pPr>
            <w:r>
              <w:t xml:space="preserve">Vol III Book 01 (Privileged Access and MFA)</w:t>
            </w:r>
          </w:p>
        </w:tc>
        <w:tc>
          <w:tcPr/>
          <w:p>
            <w:pPr>
              <w:pStyle w:val="Compact"/>
            </w:pPr>
            <w:r>
              <w:t xml:space="preserve">Break-glass accounts for emergency access</w:t>
            </w:r>
          </w:p>
        </w:tc>
        <w:tc>
          <w:tcPr/>
          <w:p>
            <w:pPr>
              <w:pStyle w:val="Compact"/>
            </w:pPr>
            <w:r>
              <w:t xml:space="preserve">CP-2: ensures recovery teams can authenticate during Conditional Access disruption or MFA outage</w:t>
            </w:r>
          </w:p>
        </w:tc>
      </w:tr>
      <w:tr>
        <w:tc>
          <w:tcPr/>
          <w:p>
            <w:pPr>
              <w:pStyle w:val="Compact"/>
            </w:pPr>
            <w:r>
              <w:t xml:space="preserve">Vol I Book 02 and Vol I Book 06 (NAC policy tiers; SD-WAN/SASE policy)</w:t>
            </w:r>
          </w:p>
        </w:tc>
        <w:tc>
          <w:tcPr/>
          <w:p>
            <w:pPr>
              <w:pStyle w:val="Compact"/>
            </w:pPr>
            <w:r>
              <w:t xml:space="preserve">Network admission and egress policy backup — 802.1X policy tiers, SD-WAN templates, SASE FWaaS rules</w:t>
            </w:r>
          </w:p>
        </w:tc>
        <w:tc>
          <w:tcPr/>
          <w:p>
            <w:pPr>
              <w:pStyle w:val="Compact"/>
            </w:pPr>
            <w:r>
              <w:t xml:space="preserve">CP-6: configuration baseline for admission and egress policy stored in alternate region; CP-7: network policy can be restored at alternate site</w:t>
            </w:r>
          </w:p>
        </w:tc>
      </w:tr>
      <w:tr>
        <w:tc>
          <w:tcPr/>
          <w:p>
            <w:pPr>
              <w:pStyle w:val="Compact"/>
            </w:pPr>
            <w:r>
              <w:t xml:space="preserve">Vol IV Book 06 (Authorization Package and ConMon)</w:t>
            </w:r>
          </w:p>
        </w:tc>
        <w:tc>
          <w:tcPr/>
          <w:p>
            <w:pPr>
              <w:pStyle w:val="Compact"/>
            </w:pPr>
            <w:r>
              <w:t xml:space="preserve">OSCAL bundle, ScubaDrift ledger, and compliance baseline exports</w:t>
            </w:r>
          </w:p>
        </w:tc>
        <w:tc>
          <w:tcPr/>
          <w:p>
            <w:pPr>
              <w:pStyle w:val="Compact"/>
            </w:pPr>
            <w:r>
              <w:t xml:space="preserve">CP-6: configuration and compliance baselines (device management policy exports, compliance rules, ConMon history) stored in alternate Key Vault</w:t>
            </w:r>
          </w:p>
        </w:tc>
      </w:tr>
      <w:tr>
        <w:tc>
          <w:tcPr/>
          <w:p>
            <w:pPr>
              <w:pStyle w:val="Compact"/>
            </w:pPr>
            <w:r>
              <w:t xml:space="preserve">Vol III Book 06 (Sentinel/SIEM)</w:t>
            </w:r>
          </w:p>
        </w:tc>
        <w:tc>
          <w:tcPr/>
          <w:p>
            <w:pPr>
              <w:pStyle w:val="Compact"/>
            </w:pPr>
            <w:r>
              <w:t xml:space="preserve">Geo-redundant Log Analytics workspace</w:t>
            </w:r>
          </w:p>
        </w:tc>
        <w:tc>
          <w:tcPr/>
          <w:p>
            <w:pPr>
              <w:pStyle w:val="Compact"/>
            </w:pPr>
            <w:r>
              <w:t xml:space="preserve">CP-9: audit logs replicated to alternate region; AU-9: integrity of audit records maintained during primary site outage</w:t>
            </w:r>
          </w:p>
        </w:tc>
      </w:tr>
    </w:tbl>
    <w:bookmarkEnd w:id="53"/>
    <w:bookmarkStart w:id="54" w:name="referencing-series-parts-in-the-cp-2"/>
    <w:p>
      <w:pPr>
        <w:pStyle w:val="Heading2"/>
      </w:pPr>
      <w:r>
        <w:t xml:space="preserve">Referencing Series Parts in the CP-2</w:t>
      </w:r>
    </w:p>
    <w:p>
      <w:pPr>
        <w:pStyle w:val="FirstParagraph"/>
      </w:pPr>
      <w:r>
        <w:t xml:space="preserve">When populating the CP-2 appendices, reference the series documentation directly rather than duplicating technical content. Example reference text for Appendix A:</w:t>
      </w:r>
      <w:r>
        <w:t xml:space="preserve"> </w:t>
      </w:r>
      <w:r>
        <w:t xml:space="preserve">“SD-WAN circuit failover is executed automatically by the SD-WAN fabric when primary path quality degrades below configured thresholds. Manual procedure for validating automatic failover and restoring traffic balance after the primary circuit recovers is documented in the SD-WAN operational guide [reference to Vol I Book 06 implementation document, maintained in the document management system at (URL)].”</w:t>
      </w:r>
      <w:r>
        <w:t xml:space="preserve"> </w:t>
      </w:r>
      <w:r>
        <w:t xml:space="preserve">The CP-2 owns the activation, notification, sequencing, and acceptance criteria; the technical guides own the step-by-step execution details.</w:t>
      </w:r>
    </w:p>
    <w:bookmarkEnd w:id="54"/>
    <w:bookmarkStart w:id="55" w:name="nist-sp-800-53-rev-5-control-closure"/>
    <w:p>
      <w:pPr>
        <w:pStyle w:val="Heading2"/>
      </w:pPr>
      <w:r>
        <w:t xml:space="preserve">NIST SP 800-53 Rev 5 Control Closure</w:t>
      </w:r>
    </w:p>
    <w:p>
      <w:pPr>
        <w:pStyle w:val="TableCaption"/>
      </w:pPr>
      <w:r>
        <w:t xml:space="preserve">NIST SP 800-53 Rev 5 Control Closure — Vol IV Book 01 Business Continuity</w:t>
      </w:r>
    </w:p>
    <w:tbl>
      <w:tblPr>
        <w:tblStyle w:val="Table"/>
        <w:tblW w:type="pct" w:w="5000"/>
        <w:tblLayout w:type="fixed"/>
        <w:tblLook w:firstRow="1" w:lastRow="0" w:firstColumn="0" w:lastColumn="0" w:noHBand="0" w:noVBand="0" w:val="0020"/>
        <w:tblCaption w:val="NIST SP 800-53 Rev 5 Control Closure — Vol IV Book 01 Business Continuity"/>
      </w:tblPr>
      <w:tblGrid>
        <w:gridCol w:w="1584"/>
        <w:gridCol w:w="1584"/>
        <w:gridCol w:w="1584"/>
        <w:gridCol w:w="1584"/>
        <w:gridCol w:w="1584"/>
      </w:tblGrid>
      <w:tr>
        <w:trPr>
          <w:tblHeader w:val="on"/>
        </w:trPr>
        <w:tc>
          <w:tcPr/>
          <w:p>
            <w:pPr>
              <w:pStyle w:val="Compact"/>
            </w:pPr>
            <w:r>
              <w:t xml:space="preserve">Control</w:t>
            </w:r>
          </w:p>
        </w:tc>
        <w:tc>
          <w:tcPr/>
          <w:p>
            <w:pPr>
              <w:pStyle w:val="Compact"/>
            </w:pPr>
            <w:r>
              <w:t xml:space="preserve">Title</w:t>
            </w:r>
          </w:p>
        </w:tc>
        <w:tc>
          <w:tcPr/>
          <w:p>
            <w:pPr>
              <w:pStyle w:val="Compact"/>
            </w:pPr>
            <w:r>
              <w:t xml:space="preserve">Without This Framework</w:t>
            </w:r>
          </w:p>
        </w:tc>
        <w:tc>
          <w:tcPr/>
          <w:p>
            <w:pPr>
              <w:pStyle w:val="Compact"/>
            </w:pPr>
            <w:r>
              <w:t xml:space="preserve">With This Framework</w:t>
            </w:r>
          </w:p>
        </w:tc>
        <w:tc>
          <w:tcPr/>
          <w:p>
            <w:pPr>
              <w:pStyle w:val="Compact"/>
            </w:pPr>
            <w:r>
              <w:t xml:space="preserve">Authority</w:t>
            </w:r>
          </w:p>
        </w:tc>
      </w:tr>
      <w:tr>
        <w:tc>
          <w:tcPr/>
          <w:p>
            <w:pPr>
              <w:pStyle w:val="Compact"/>
            </w:pPr>
            <w:r>
              <w:t xml:space="preserve">CP-2</w:t>
            </w:r>
          </w:p>
        </w:tc>
        <w:tc>
          <w:tcPr/>
          <w:p>
            <w:pPr>
              <w:pStyle w:val="Compact"/>
            </w:pPr>
            <w:r>
              <w:t xml:space="preserve">Contingency Plan</w:t>
            </w:r>
          </w:p>
        </w:tc>
        <w:tc>
          <w:tcPr/>
          <w:p>
            <w:pPr>
              <w:pStyle w:val="Compact"/>
            </w:pPr>
            <w:r>
              <w:t xml:space="preserve">No formal CP-2 document; DR runbooks exist but do not constitute a plan; assessor finding is High</w:t>
            </w:r>
          </w:p>
        </w:tc>
        <w:tc>
          <w:tcPr/>
          <w:p>
            <w:pPr>
              <w:pStyle w:val="Compact"/>
            </w:pPr>
            <w:r>
              <w:t xml:space="preserve">CP-2 document authored per NIST SP 800-34 Rev 1 seven-section structure; BIA values documented; mission owner sign-off; annual review scheduled</w:t>
            </w:r>
          </w:p>
        </w:tc>
        <w:tc>
          <w:tcPr/>
          <w:p>
            <w:pPr>
              <w:pStyle w:val="Compact"/>
            </w:pPr>
            <w:r>
              <w:t xml:space="preserve">NIST SP 800-53 Rev 5 CP-2; NIST SP 800-34 Rev 1</w:t>
            </w:r>
          </w:p>
        </w:tc>
      </w:tr>
      <w:tr>
        <w:tc>
          <w:tcPr/>
          <w:p>
            <w:pPr>
              <w:pStyle w:val="Compact"/>
            </w:pPr>
            <w:r>
              <w:t xml:space="preserve">CP-2(1)</w:t>
            </w:r>
          </w:p>
        </w:tc>
        <w:tc>
          <w:tcPr/>
          <w:p>
            <w:pPr>
              <w:pStyle w:val="Compact"/>
            </w:pPr>
            <w:r>
              <w:t xml:space="preserve">Coordinate with Related Plans</w:t>
            </w:r>
          </w:p>
        </w:tc>
        <w:tc>
          <w:tcPr/>
          <w:p>
            <w:pPr>
              <w:pStyle w:val="Compact"/>
            </w:pPr>
            <w:r>
              <w:t xml:space="preserve">Contingency plan developed in isolation from agency COOP and IR plan</w:t>
            </w:r>
          </w:p>
        </w:tc>
        <w:tc>
          <w:tcPr/>
          <w:p>
            <w:pPr>
              <w:pStyle w:val="Compact"/>
            </w:pPr>
            <w:r>
              <w:t xml:space="preserve">CP-2 Section 1.4 cross-references COOP; Section 4.4 escalation connects to IR plan; annual review includes coordination with COOP coordinator</w:t>
            </w:r>
          </w:p>
        </w:tc>
        <w:tc>
          <w:tcPr/>
          <w:p>
            <w:pPr>
              <w:pStyle w:val="Compact"/>
            </w:pPr>
            <w:r>
              <w:t xml:space="preserve">NIST SP 800-53 Rev 5 CP-2(1)</w:t>
            </w:r>
          </w:p>
        </w:tc>
      </w:tr>
      <w:tr>
        <w:tc>
          <w:tcPr/>
          <w:p>
            <w:pPr>
              <w:pStyle w:val="Compact"/>
            </w:pPr>
            <w:r>
              <w:t xml:space="preserve">CP-2(8)</w:t>
            </w:r>
          </w:p>
        </w:tc>
        <w:tc>
          <w:tcPr/>
          <w:p>
            <w:pPr>
              <w:pStyle w:val="Compact"/>
            </w:pPr>
            <w:r>
              <w:t xml:space="preserve">Identify Critical Assets</w:t>
            </w:r>
          </w:p>
        </w:tc>
        <w:tc>
          <w:tcPr/>
          <w:p>
            <w:pPr>
              <w:pStyle w:val="Compact"/>
            </w:pPr>
            <w:r>
              <w:t xml:space="preserve">No formal identification of which assets are most critical to mission</w:t>
            </w:r>
          </w:p>
        </w:tc>
        <w:tc>
          <w:tcPr/>
          <w:p>
            <w:pPr>
              <w:pStyle w:val="Compact"/>
            </w:pPr>
            <w:r>
              <w:t xml:space="preserve">BIA table with MTD values identifies and rank-orders critical assets; Section 2.2 recovery priority table is the CP-2(8) evidence</w:t>
            </w:r>
          </w:p>
        </w:tc>
        <w:tc>
          <w:tcPr/>
          <w:p>
            <w:pPr>
              <w:pStyle w:val="Compact"/>
            </w:pPr>
            <w:r>
              <w:t xml:space="preserve">NIST SP 800-53 Rev 5 CP-2(8)</w:t>
            </w:r>
          </w:p>
        </w:tc>
      </w:tr>
      <w:tr>
        <w:tc>
          <w:tcPr/>
          <w:p>
            <w:pPr>
              <w:pStyle w:val="Compact"/>
            </w:pPr>
            <w:r>
              <w:t xml:space="preserve">CP-3</w:t>
            </w:r>
          </w:p>
        </w:tc>
        <w:tc>
          <w:tcPr/>
          <w:p>
            <w:pPr>
              <w:pStyle w:val="Compact"/>
            </w:pPr>
            <w:r>
              <w:t xml:space="preserve">Contingency Training</w:t>
            </w:r>
          </w:p>
        </w:tc>
        <w:tc>
          <w:tcPr/>
          <w:p>
            <w:pPr>
              <w:pStyle w:val="Compact"/>
            </w:pPr>
            <w:r>
              <w:t xml:space="preserve">No annual training requirement enforced; personnel may be unaware of their roles</w:t>
            </w:r>
          </w:p>
        </w:tc>
        <w:tc>
          <w:tcPr/>
          <w:p>
            <w:pPr>
              <w:pStyle w:val="Compact"/>
            </w:pPr>
            <w:r>
              <w:t xml:space="preserve">Tabletop participation provides the annual training component of CP-3; attendance record evidences it; onboarding training within the org-defined period of assuming a contingency role must be added to fully satisfy the control; plan includes training requirement in Section 7</w:t>
            </w:r>
          </w:p>
        </w:tc>
        <w:tc>
          <w:tcPr/>
          <w:p>
            <w:pPr>
              <w:pStyle w:val="Compact"/>
            </w:pPr>
            <w:r>
              <w:t xml:space="preserve">NIST SP 800-53 Rev 5 CP-3</w:t>
            </w:r>
          </w:p>
        </w:tc>
      </w:tr>
      <w:tr>
        <w:tc>
          <w:tcPr/>
          <w:p>
            <w:pPr>
              <w:pStyle w:val="Compact"/>
            </w:pPr>
            <w:r>
              <w:t xml:space="preserve">CP-4</w:t>
            </w:r>
          </w:p>
        </w:tc>
        <w:tc>
          <w:tcPr/>
          <w:p>
            <w:pPr>
              <w:pStyle w:val="Compact"/>
            </w:pPr>
            <w:r>
              <w:t xml:space="preserve">Contingency Plan Testing</w:t>
            </w:r>
          </w:p>
        </w:tc>
        <w:tc>
          <w:tcPr/>
          <w:p>
            <w:pPr>
              <w:pStyle w:val="Compact"/>
            </w:pPr>
            <w:r>
              <w:t xml:space="preserve">No test of contingency plan; architecture tested informally but no documented test plan or AAR</w:t>
            </w:r>
          </w:p>
        </w:tc>
        <w:tc>
          <w:tcPr/>
          <w:p>
            <w:pPr>
              <w:pStyle w:val="Compact"/>
            </w:pPr>
            <w:r>
              <w:t xml:space="preserve">Annual tabletop (minimum) with documented test plan, execution record, metrics, and signed AAR; lessons learned drive plan updates</w:t>
            </w:r>
          </w:p>
        </w:tc>
        <w:tc>
          <w:tcPr/>
          <w:p>
            <w:pPr>
              <w:pStyle w:val="Compact"/>
            </w:pPr>
            <w:r>
              <w:t xml:space="preserve">NIST SP 800-53 Rev 5 CP-4</w:t>
            </w:r>
          </w:p>
        </w:tc>
      </w:tr>
      <w:tr>
        <w:tc>
          <w:tcPr/>
          <w:p>
            <w:pPr>
              <w:pStyle w:val="Compact"/>
            </w:pPr>
            <w:r>
              <w:t xml:space="preserve">CP-4(1)</w:t>
            </w:r>
          </w:p>
        </w:tc>
        <w:tc>
          <w:tcPr/>
          <w:p>
            <w:pPr>
              <w:pStyle w:val="Compact"/>
            </w:pPr>
            <w:r>
              <w:t xml:space="preserve">Coordinate with Related Plans</w:t>
            </w:r>
          </w:p>
        </w:tc>
        <w:tc>
          <w:tcPr/>
          <w:p>
            <w:pPr>
              <w:pStyle w:val="Compact"/>
            </w:pPr>
            <w:r>
              <w:t xml:space="preserve">Testing done in isolation; does not account for simultaneous COOP or IR activation</w:t>
            </w:r>
          </w:p>
        </w:tc>
        <w:tc>
          <w:tcPr/>
          <w:p>
            <w:pPr>
              <w:pStyle w:val="Compact"/>
            </w:pPr>
            <w:r>
              <w:t xml:space="preserve">Test scenario includes activation of escalation to COOP; IR notification inject included in tabletop; AAR distributed to COOP and IR plan owners</w:t>
            </w:r>
          </w:p>
        </w:tc>
        <w:tc>
          <w:tcPr/>
          <w:p>
            <w:pPr>
              <w:pStyle w:val="Compact"/>
            </w:pPr>
            <w:r>
              <w:t xml:space="preserve">NIST SP 800-53 Rev 5 CP-4(1)</w:t>
            </w:r>
          </w:p>
        </w:tc>
      </w:tr>
      <w:tr>
        <w:tc>
          <w:tcPr/>
          <w:p>
            <w:pPr>
              <w:pStyle w:val="Compact"/>
            </w:pPr>
            <w:r>
              <w:t xml:space="preserve">CP-6</w:t>
            </w:r>
          </w:p>
        </w:tc>
        <w:tc>
          <w:tcPr/>
          <w:p>
            <w:pPr>
              <w:pStyle w:val="Compact"/>
            </w:pPr>
            <w:r>
              <w:t xml:space="preserve">Alternate Storage Site</w:t>
            </w:r>
          </w:p>
        </w:tc>
        <w:tc>
          <w:tcPr/>
          <w:p>
            <w:pPr>
              <w:pStyle w:val="Compact"/>
            </w:pPr>
            <w:r>
              <w:t xml:space="preserve">Database replicated but not formally documented as alternate storage; unstructured data and config baselines not addressed</w:t>
            </w:r>
          </w:p>
        </w:tc>
        <w:tc>
          <w:tcPr/>
          <w:p>
            <w:pPr>
              <w:pStyle w:val="Compact"/>
            </w:pPr>
            <w:r>
              <w:t xml:space="preserve">SQL async DR replica in secondary region documented as alternate storage; multi-geo replication for unstructured data; policy exports in secondary Key Vault; annual restore test</w:t>
            </w:r>
          </w:p>
        </w:tc>
        <w:tc>
          <w:tcPr/>
          <w:p>
            <w:pPr>
              <w:pStyle w:val="Compact"/>
            </w:pPr>
            <w:r>
              <w:t xml:space="preserve">NIST SP 800-53 Rev 5 CP-6; NIST SP 800-34 Rev 1 Section 3.5</w:t>
            </w:r>
          </w:p>
        </w:tc>
      </w:tr>
      <w:tr>
        <w:tc>
          <w:tcPr/>
          <w:p>
            <w:pPr>
              <w:pStyle w:val="Compact"/>
            </w:pPr>
            <w:r>
              <w:t xml:space="preserve">CP-6(1)</w:t>
            </w:r>
          </w:p>
        </w:tc>
        <w:tc>
          <w:tcPr/>
          <w:p>
            <w:pPr>
              <w:pStyle w:val="Compact"/>
            </w:pPr>
            <w:r>
              <w:t xml:space="preserve">Separation from Primary Site</w:t>
            </w:r>
          </w:p>
        </w:tc>
        <w:tc>
          <w:tcPr/>
          <w:p>
            <w:pPr>
              <w:pStyle w:val="Compact"/>
            </w:pPr>
            <w:r>
              <w:t xml:space="preserve">Replica in same region (availability zone only) does not satisfy geographic separation</w:t>
            </w:r>
          </w:p>
        </w:tc>
        <w:tc>
          <w:tcPr/>
          <w:p>
            <w:pPr>
              <w:pStyle w:val="Compact"/>
            </w:pPr>
            <w:r>
              <w:t xml:space="preserve">Async DR replica confirmed in separate geographic region; physical separation documented in CP-2; region pair selected per CSP disaster recovery guidance</w:t>
            </w:r>
          </w:p>
        </w:tc>
        <w:tc>
          <w:tcPr/>
          <w:p>
            <w:pPr>
              <w:pStyle w:val="Compact"/>
            </w:pPr>
            <w:r>
              <w:t xml:space="preserve">NIST SP 800-53 Rev 5 CP-6(1)</w:t>
            </w:r>
          </w:p>
        </w:tc>
      </w:tr>
      <w:tr>
        <w:tc>
          <w:tcPr/>
          <w:p>
            <w:pPr>
              <w:pStyle w:val="Compact"/>
            </w:pPr>
            <w:r>
              <w:t xml:space="preserve">CP-7</w:t>
            </w:r>
          </w:p>
        </w:tc>
        <w:tc>
          <w:tcPr/>
          <w:p>
            <w:pPr>
              <w:pStyle w:val="Compact"/>
            </w:pPr>
            <w:r>
              <w:t xml:space="preserve">Alternate Processing Site</w:t>
            </w:r>
          </w:p>
        </w:tc>
        <w:tc>
          <w:tcPr/>
          <w:p>
            <w:pPr>
              <w:pStyle w:val="Compact"/>
            </w:pPr>
            <w:r>
              <w:t xml:space="preserve">No formal alternate processing site; failover capability exists but not documented in CP</w:t>
            </w:r>
          </w:p>
        </w:tc>
        <w:tc>
          <w:tcPr/>
          <w:p>
            <w:pPr>
              <w:pStyle w:val="Compact"/>
            </w:pPr>
            <w:r>
              <w:t xml:space="preserve">Secondary cloud region documented as alternate processing site; application failover procedures in Appendix D; SQL AG failover in Appendix B; tested RTO values from last DR test recorded in CP-2</w:t>
            </w:r>
          </w:p>
        </w:tc>
        <w:tc>
          <w:tcPr/>
          <w:p>
            <w:pPr>
              <w:pStyle w:val="Compact"/>
            </w:pPr>
            <w:r>
              <w:t xml:space="preserve">NIST SP 800-53 Rev 5 CP-7</w:t>
            </w:r>
          </w:p>
        </w:tc>
      </w:tr>
      <w:tr>
        <w:tc>
          <w:tcPr/>
          <w:p>
            <w:pPr>
              <w:pStyle w:val="Compact"/>
            </w:pPr>
            <w:r>
              <w:t xml:space="preserve">CP-7(1)</w:t>
            </w:r>
          </w:p>
        </w:tc>
        <w:tc>
          <w:tcPr/>
          <w:p>
            <w:pPr>
              <w:pStyle w:val="Compact"/>
            </w:pPr>
            <w:r>
              <w:t xml:space="preserve">Separation from Primary Site</w:t>
            </w:r>
          </w:p>
        </w:tc>
        <w:tc>
          <w:tcPr/>
          <w:p>
            <w:pPr>
              <w:pStyle w:val="Compact"/>
            </w:pPr>
            <w:r>
              <w:t xml:space="preserve">Secondary region in same metro area; single disaster could affect both</w:t>
            </w:r>
          </w:p>
        </w:tc>
        <w:tc>
          <w:tcPr/>
          <w:p>
            <w:pPr>
              <w:pStyle w:val="Compact"/>
            </w:pPr>
            <w:r>
              <w:t xml:space="preserve">Secondary region confirmed geographically separated; CSP region pair documentation referenced; separation requirement stated in CP-2 alternate site section</w:t>
            </w:r>
          </w:p>
        </w:tc>
        <w:tc>
          <w:tcPr/>
          <w:p>
            <w:pPr>
              <w:pStyle w:val="Compact"/>
            </w:pPr>
            <w:r>
              <w:t xml:space="preserve">NIST SP 800-53 Rev 5 CP-7(1)</w:t>
            </w:r>
          </w:p>
        </w:tc>
      </w:tr>
      <w:tr>
        <w:tc>
          <w:tcPr/>
          <w:p>
            <w:pPr>
              <w:pStyle w:val="Compact"/>
            </w:pPr>
            <w:r>
              <w:t xml:space="preserve">CP-7(3)</w:t>
            </w:r>
          </w:p>
        </w:tc>
        <w:tc>
          <w:tcPr/>
          <w:p>
            <w:pPr>
              <w:pStyle w:val="Compact"/>
            </w:pPr>
            <w:r>
              <w:t xml:space="preserve">Priority of Service</w:t>
            </w:r>
          </w:p>
        </w:tc>
        <w:tc>
          <w:tcPr/>
          <w:p>
            <w:pPr>
              <w:pStyle w:val="Compact"/>
            </w:pPr>
            <w:r>
              <w:t xml:space="preserve">No priority-of-service agreements with CSP or telecom carriers</w:t>
            </w:r>
          </w:p>
        </w:tc>
        <w:tc>
          <w:tcPr/>
          <w:p>
            <w:pPr>
              <w:pStyle w:val="Compact"/>
            </w:pPr>
            <w:r>
              <w:t xml:space="preserve">Tier N CSP support agreement documented; carrier priority restoration agreements referenced in CP-8 documentation block; out-of-band cellular circuit for command-and-control</w:t>
            </w:r>
          </w:p>
        </w:tc>
        <w:tc>
          <w:tcPr/>
          <w:p>
            <w:pPr>
              <w:pStyle w:val="Compact"/>
            </w:pPr>
            <w:r>
              <w:t xml:space="preserve">NIST SP 800-53 Rev 5 CP-7(3)</w:t>
            </w:r>
          </w:p>
        </w:tc>
      </w:tr>
      <w:tr>
        <w:tc>
          <w:tcPr/>
          <w:p>
            <w:pPr>
              <w:pStyle w:val="Compact"/>
            </w:pPr>
            <w:r>
              <w:t xml:space="preserve">CP-8</w:t>
            </w:r>
          </w:p>
        </w:tc>
        <w:tc>
          <w:tcPr/>
          <w:p>
            <w:pPr>
              <w:pStyle w:val="Compact"/>
            </w:pPr>
            <w:r>
              <w:t xml:space="preserve">Telecommunications Services</w:t>
            </w:r>
          </w:p>
        </w:tc>
        <w:tc>
          <w:tcPr/>
          <w:p>
            <w:pPr>
              <w:pStyle w:val="Compact"/>
            </w:pPr>
            <w:r>
              <w:t xml:space="preserve">Single-carrier WAN; no documented alternate; SD-WAN dual underlay not formally tied to CP</w:t>
            </w:r>
          </w:p>
        </w:tc>
        <w:tc>
          <w:tcPr/>
          <w:p>
            <w:pPr>
              <w:pStyle w:val="Compact"/>
            </w:pPr>
            <w:r>
              <w:t xml:space="preserve">SD-WAN dual underlay (MPLS + DIA, separate carriers) documented as primary and alternate telecommunications in CP-2; overlay probe-driven automatic failover configuration documented; annual path failover test</w:t>
            </w:r>
          </w:p>
        </w:tc>
        <w:tc>
          <w:tcPr/>
          <w:p>
            <w:pPr>
              <w:pStyle w:val="Compact"/>
            </w:pPr>
            <w:r>
              <w:t xml:space="preserve">NIST SP 800-53 Rev 5 CP-8</w:t>
            </w:r>
          </w:p>
        </w:tc>
      </w:tr>
      <w:tr>
        <w:tc>
          <w:tcPr/>
          <w:p>
            <w:pPr>
              <w:pStyle w:val="Compact"/>
            </w:pPr>
            <w:r>
              <w:t xml:space="preserve">CP-8(1)</w:t>
            </w:r>
          </w:p>
        </w:tc>
        <w:tc>
          <w:tcPr/>
          <w:p>
            <w:pPr>
              <w:pStyle w:val="Compact"/>
            </w:pPr>
            <w:r>
              <w:t xml:space="preserve">Priority of Service Provisions</w:t>
            </w:r>
          </w:p>
        </w:tc>
        <w:tc>
          <w:tcPr/>
          <w:p>
            <w:pPr>
              <w:pStyle w:val="Compact"/>
            </w:pPr>
            <w:r>
              <w:t xml:space="preserve">No priority restoration agreement with telecom carriers</w:t>
            </w:r>
          </w:p>
        </w:tc>
        <w:tc>
          <w:tcPr/>
          <w:p>
            <w:pPr>
              <w:pStyle w:val="Compact"/>
            </w:pPr>
            <w:r>
              <w:t xml:space="preserve">Primary carrier priority restoration SLA documented; backup carrier commercial SLA documented; cellular OOB management for command-and-control when both fail</w:t>
            </w:r>
          </w:p>
        </w:tc>
        <w:tc>
          <w:tcPr/>
          <w:p>
            <w:pPr>
              <w:pStyle w:val="Compact"/>
            </w:pPr>
            <w:r>
              <w:t xml:space="preserve">NIST SP 800-53 Rev 5 CP-8(1)</w:t>
            </w:r>
          </w:p>
        </w:tc>
      </w:tr>
      <w:tr>
        <w:tc>
          <w:tcPr/>
          <w:p>
            <w:pPr>
              <w:pStyle w:val="Compact"/>
            </w:pPr>
            <w:r>
              <w:t xml:space="preserve">CP-9</w:t>
            </w:r>
          </w:p>
        </w:tc>
        <w:tc>
          <w:tcPr/>
          <w:p>
            <w:pPr>
              <w:pStyle w:val="Compact"/>
            </w:pPr>
            <w:r>
              <w:t xml:space="preserve">System Backup</w:t>
            </w:r>
          </w:p>
        </w:tc>
        <w:tc>
          <w:tcPr/>
          <w:p>
            <w:pPr>
              <w:pStyle w:val="Compact"/>
            </w:pPr>
            <w:r>
              <w:t xml:space="preserve">Addressed in Vol II Book 02 and Vol II Book 03; extended here to audit logs and config baselines</w:t>
            </w:r>
          </w:p>
        </w:tc>
        <w:tc>
          <w:tcPr/>
          <w:p>
            <w:pPr>
              <w:pStyle w:val="Compact"/>
            </w:pPr>
            <w:r>
              <w:t xml:space="preserve">Audit log backup via geo-redundant Log Analytics (Vol III Book 06) explicitly referenced in CP-2 as CP-9 evidence; config baseline exports in secondary Key Vault documented</w:t>
            </w:r>
          </w:p>
        </w:tc>
        <w:tc>
          <w:tcPr/>
          <w:p>
            <w:pPr>
              <w:pStyle w:val="Compact"/>
            </w:pPr>
            <w:r>
              <w:t xml:space="preserve">NIST SP 800-53 Rev 5 CP-9</w:t>
            </w:r>
          </w:p>
        </w:tc>
      </w:tr>
      <w:tr>
        <w:tc>
          <w:tcPr/>
          <w:p>
            <w:pPr>
              <w:pStyle w:val="Compact"/>
            </w:pPr>
            <w:r>
              <w:t xml:space="preserve">CP-10</w:t>
            </w:r>
          </w:p>
        </w:tc>
        <w:tc>
          <w:tcPr/>
          <w:p>
            <w:pPr>
              <w:pStyle w:val="Compact"/>
            </w:pPr>
            <w:r>
              <w:t xml:space="preserve">System Recovery and Reconstitution</w:t>
            </w:r>
          </w:p>
        </w:tc>
        <w:tc>
          <w:tcPr/>
          <w:p>
            <w:pPr>
              <w:pStyle w:val="Compact"/>
            </w:pPr>
            <w:r>
              <w:t xml:space="preserve">Recovery procedures exist but reconstitution back to primary site not documented</w:t>
            </w:r>
          </w:p>
        </w:tc>
        <w:tc>
          <w:tcPr/>
          <w:p>
            <w:pPr>
              <w:pStyle w:val="Compact"/>
            </w:pPr>
            <w:r>
              <w:t xml:space="preserve">Section 6 of CP-2 documents reconstitution: data sync before failback, per-component failback procedures in appendices (-R sections), validation checklist, and formal deactivation declaration</w:t>
            </w:r>
          </w:p>
        </w:tc>
        <w:tc>
          <w:tcPr/>
          <w:p>
            <w:pPr>
              <w:pStyle w:val="Compact"/>
            </w:pPr>
            <w:r>
              <w:t xml:space="preserve">NIST SP 800-53 Rev 5 CP-10</w:t>
            </w:r>
          </w:p>
        </w:tc>
      </w:tr>
    </w:tbl>
    <w:p>
      <w:r>
        <w:pict>
          <v:rect style="width:0;height:1.5pt" o:hralign="center" o:hrstd="t" o:hr="t"/>
        </w:pict>
      </w:r>
    </w:p>
    <w:bookmarkEnd w:id="55"/>
    <w:bookmarkStart w:id="56" w:name="X3ebfeca6287e5444573b4031721b0fba299571c"/>
    <w:p>
      <w:pPr>
        <w:pStyle w:val="Heading2"/>
      </w:pPr>
      <w:r>
        <w:t xml:space="preserve">FedRAMP 20x Key Security Indicator Alignment</w:t>
      </w:r>
    </w:p>
    <w:p>
      <w:pPr>
        <w:pStyle w:val="FirstParagraph"/>
      </w:pPr>
      <w:r>
        <w:t xml:space="preserve">FedRAMP 20x shifts the authorization model toward continuous, evidence-based assessment against Key Security Indicators (KSIs). The contingency planning framework in this document directly addresses two KSI areas that assessors can validate programmatically rather than through point-in-time document review.</w:t>
      </w:r>
    </w:p>
    <w:p>
      <w:pPr>
        <w:pStyle w:val="BodyText"/>
      </w:pPr>
      <w:r>
        <w:rPr>
          <w:b/>
          <w:bCs/>
        </w:rPr>
        <w:t xml:space="preserve">KSI-RPL (Recovery Planning) — CP-6, CP-7, CP-9.</w:t>
      </w:r>
      <w:r>
        <w:t xml:space="preserve"> </w:t>
      </w:r>
      <w:r>
        <w:t xml:space="preserve">A FedRAMP 20x-ready implementation provides machine-readable evidence of backup recency and integrity, not just a policy document claiming backups occur. The SQL AG replication lag metric, the Log Analytics geo-redundancy configuration, and the secondary Key Vault contents are all query-able via API. Agencies preparing for 20x assessment should expose these metrics through a compliance dashboard that answers:</w:t>
      </w:r>
      <w:r>
        <w:t xml:space="preserve"> </w:t>
      </w:r>
      <w:r>
        <w:t xml:space="preserve">“What is the current RPO for each critical system, and when was the last successful recovery test?”</w:t>
      </w:r>
    </w:p>
    <w:p>
      <w:pPr>
        <w:pStyle w:val="BodyText"/>
      </w:pPr>
      <w:r>
        <w:rPr>
          <w:b/>
          <w:bCs/>
        </w:rPr>
        <w:t xml:space="preserve">KSI-RPL (Recovery Planning) and KSI-INR (Incident Response) — CP-2, CP-4 → KSI-RPL; IR-4 → KSI-INR.</w:t>
      </w:r>
      <w:r>
        <w:t xml:space="preserve"> </w:t>
      </w:r>
      <w:r>
        <w:t xml:space="preserve">FedRAMP 20x assessors will look for evidence that contingency plans are living documents connected to operational telemetry, not static PDFs filed at authorization time. The connection points in this framework are the Sentinel alerts (Vol III Book 06) that trigger the activation threshold evaluation, the SD-WAN monitoring dashboards that evidence CP-8 path health, and the AAR tracking table that shows findings from prior tests are being resolved. Automate the evidence collection: a scheduled export of circuit uptime, replication lag, and backup age to the ISCM continuous monitoring system satisfies KSI evidence requirements without manual artifact assembly at assessment time.</w:t>
      </w:r>
    </w:p>
    <w:p>
      <w:pPr>
        <w:pStyle w:val="BodyText"/>
      </w:pPr>
      <w:r>
        <w:t xml:space="preserve">The Contingency Plan document is the assessor-facing artifact. The monitoring, replication, and failover capabilities from the Volume I, II, and III books are the automated evidence substrate. Vol IV Book 01 closes the gap between having the capability and being able to demonstrate it.</w:t>
      </w:r>
    </w:p>
    <w:bookmarkEnd w:id="56"/>
    <w:bookmarkStart w:id="57" w:name="draft-proposal-subject-to-review-2"/>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57"/>
    <w:bookmarkStart w:id="58" w:name="what-this-document-addresses-1"/>
    <w:p>
      <w:pPr>
        <w:pStyle w:val="Heading2"/>
      </w:pPr>
      <w:r>
        <w:t xml:space="preserve">What This Document Addresses</w:t>
      </w:r>
    </w:p>
    <w:p>
      <w:pPr>
        <w:pStyle w:val="FirstParagraph"/>
      </w:pPr>
      <w:r>
        <w:t xml:space="preserve">Supply chain risk is the fastest-growing attack vector in the federal technology</w:t>
      </w:r>
      <w:r>
        <w:t xml:space="preserve"> </w:t>
      </w:r>
      <w:r>
        <w:t xml:space="preserve">landscape. Executive Order 14028 (May 2021) §4, NIST SP 800-161r1, OMB M-22-18</w:t>
      </w:r>
      <w:r>
        <w:t xml:space="preserve"> </w:t>
      </w:r>
      <w:r>
        <w:t xml:space="preserve">and M-23-16, and the NIST SP 800-53 SR control family together establish a</w:t>
      </w:r>
      <w:r>
        <w:t xml:space="preserve"> </w:t>
      </w:r>
      <w:r>
        <w:t xml:space="preserve">mandatory framework: agencies must be able to enumerate every software component</w:t>
      </w:r>
      <w:r>
        <w:t xml:space="preserve"> </w:t>
      </w:r>
      <w:r>
        <w:t xml:space="preserve">in their production systems, disclose vulnerability status for those components,</w:t>
      </w:r>
      <w:r>
        <w:t xml:space="preserve"> </w:t>
      </w:r>
      <w:r>
        <w:t xml:space="preserve">and demonstrate that exploitable vulnerabilities are tracked, triaged, and</w:t>
      </w:r>
      <w:r>
        <w:t xml:space="preserve"> </w:t>
      </w:r>
      <w:r>
        <w:t xml:space="preserve">remediated. CISA Binding Operational Directive 26-04 governs the last of these —</w:t>
      </w:r>
      <w:r>
        <w:t xml:space="preserve"> </w:t>
      </w:r>
      <w:r>
        <w:t xml:space="preserve">the risk-tiered</w:t>
      </w:r>
      <w:r>
        <w:t xml:space="preserve"> </w:t>
      </w:r>
      <w:r>
        <w:rPr>
          <w:i/>
          <w:iCs/>
        </w:rPr>
        <w:t xml:space="preserve">remediation</w:t>
      </w:r>
      <w:r>
        <w:t xml:space="preserve"> </w:t>
      </w:r>
      <w:r>
        <w:t xml:space="preserve">timelines — but does not itself mandate the SBOM or</w:t>
      </w:r>
      <w:r>
        <w:t xml:space="preserve"> </w:t>
      </w:r>
      <w:r>
        <w:t xml:space="preserve">disclosure artifacts; those trace to EO 14028 §4 and NIST SP 800-161.</w:t>
      </w:r>
    </w:p>
    <w:p>
      <w:pPr>
        <w:pStyle w:val="BodyText"/>
      </w:pPr>
      <w:r>
        <w:t xml:space="preserve">Two independent things converge on</w:t>
      </w:r>
      <w:r>
        <w:t xml:space="preserve"> </w:t>
      </w:r>
      <w:r>
        <w:rPr>
          <w:b/>
          <w:bCs/>
        </w:rPr>
        <w:t xml:space="preserve">December 7, 2026</w:t>
      </w:r>
      <w:r>
        <w:t xml:space="preserve">, and this document keeps</w:t>
      </w:r>
      <w:r>
        <w:t xml:space="preserve"> </w:t>
      </w:r>
      <w:r>
        <w:t xml:space="preserve">them distinct:</w:t>
      </w:r>
    </w:p>
    <w:p>
      <w:pPr>
        <w:pStyle w:val="Compact"/>
        <w:numPr>
          <w:ilvl w:val="0"/>
          <w:numId w:val="1012"/>
        </w:numPr>
      </w:pPr>
      <w:r>
        <w:rPr>
          <w:b/>
          <w:bCs/>
        </w:rPr>
        <w:t xml:space="preserve">The supply-chain evidence artifacts</w:t>
      </w:r>
      <w:r>
        <w:t xml:space="preserve"> </w:t>
      </w:r>
      <w:r>
        <w:t xml:space="preserve">(below), mandated by EO 14028 §4 /</w:t>
      </w:r>
      <w:r>
        <w:t xml:space="preserve"> </w:t>
      </w:r>
      <w:r>
        <w:t xml:space="preserve">NIST SP 800-161 / the SR family and expressed in the OWASP CycloneDX formats.</w:t>
      </w:r>
    </w:p>
    <w:p>
      <w:pPr>
        <w:pStyle w:val="Compact"/>
        <w:numPr>
          <w:ilvl w:val="0"/>
          <w:numId w:val="1012"/>
        </w:numPr>
      </w:pPr>
      <w:r>
        <w:rPr>
          <w:b/>
          <w:bCs/>
        </w:rPr>
        <w:t xml:space="preserve">FedRAMP’s Vulnerability Detection &amp; Response (VDR) and Vulnerability</w:t>
      </w:r>
      <w:r>
        <w:rPr>
          <w:b/>
          <w:bCs/>
        </w:rPr>
        <w:t xml:space="preserve"> </w:t>
      </w:r>
      <w:r>
        <w:rPr>
          <w:b/>
          <w:bCs/>
        </w:rPr>
        <w:t xml:space="preserve">Evaluation &amp; Reporting (VER) rule sets</w:t>
      </w:r>
      <w:r>
        <w:t xml:space="preserve"> </w:t>
      </w:r>
      <w:r>
        <w:t xml:space="preserve">(Public Notice NTC-0014), which</w:t>
      </w:r>
      <w:r>
        <w:t xml:space="preserve"> </w:t>
      </w:r>
      <w:r>
        <w:t xml:space="preserve">become mandatory for FedRAMP offerings on the same date BOD 26-04’s</w:t>
      </w:r>
      <w:r>
        <w:t xml:space="preserve"> </w:t>
      </w:r>
      <w:r>
        <w:t xml:space="preserve">remediation timelines take effect. Note the acronym collision: FedRAMP’s</w:t>
      </w:r>
      <w:r>
        <w:t xml:space="preserve"> </w:t>
      </w:r>
      <w:r>
        <w:t xml:space="preserve">“VDR/VER”</w:t>
      </w:r>
      <w:r>
        <w:t xml:space="preserve"> </w:t>
      </w:r>
      <w:r>
        <w:t xml:space="preserve">are</w:t>
      </w:r>
      <w:r>
        <w:t xml:space="preserve"> </w:t>
      </w:r>
      <w:r>
        <w:rPr>
          <w:i/>
          <w:iCs/>
        </w:rPr>
        <w:t xml:space="preserve">rule sets</w:t>
      </w:r>
      <w:r>
        <w:t xml:space="preserve">, distinct from the OWASP CycloneDX</w:t>
      </w:r>
      <w:r>
        <w:t xml:space="preserve"> </w:t>
      </w:r>
      <w:r>
        <w:rPr>
          <w:i/>
          <w:iCs/>
        </w:rPr>
        <w:t xml:space="preserve">Vulnerability</w:t>
      </w:r>
      <w:r>
        <w:rPr>
          <w:i/>
          <w:iCs/>
        </w:rPr>
        <w:t xml:space="preserve"> </w:t>
      </w:r>
      <w:r>
        <w:rPr>
          <w:i/>
          <w:iCs/>
        </w:rPr>
        <w:t xml:space="preserve">Disclosure Report</w:t>
      </w:r>
      <w:r>
        <w:t xml:space="preserve"> </w:t>
      </w:r>
      <w:r>
        <w:t xml:space="preserve">this pipeline generates.</w:t>
      </w:r>
    </w:p>
    <w:p>
      <w:pPr>
        <w:pStyle w:val="FirstParagraph"/>
      </w:pPr>
      <w:r>
        <w:t xml:space="preserve">The supply-chain evidence framework requires:</w:t>
      </w:r>
    </w:p>
    <w:p>
      <w:pPr>
        <w:pStyle w:val="Compact"/>
        <w:numPr>
          <w:ilvl w:val="0"/>
          <w:numId w:val="1013"/>
        </w:numPr>
      </w:pPr>
      <w:r>
        <w:t xml:space="preserve">A</w:t>
      </w:r>
      <w:r>
        <w:t xml:space="preserve"> </w:t>
      </w:r>
      <w:r>
        <w:rPr>
          <w:b/>
          <w:bCs/>
        </w:rPr>
        <w:t xml:space="preserve">Software Bill of Materials (SBOM)</w:t>
      </w:r>
      <w:r>
        <w:t xml:space="preserve"> </w:t>
      </w:r>
      <w:r>
        <w:t xml:space="preserve">for every system — a machine-readable</w:t>
      </w:r>
      <w:r>
        <w:t xml:space="preserve"> </w:t>
      </w:r>
      <w:r>
        <w:t xml:space="preserve">inventory of every software component, version, and supplier in production</w:t>
      </w:r>
      <w:r>
        <w:t xml:space="preserve"> </w:t>
      </w:r>
      <w:r>
        <w:t xml:space="preserve">(EO 14028 §4; CISA/NTIA minimum elements)</w:t>
      </w:r>
    </w:p>
    <w:p>
      <w:pPr>
        <w:pStyle w:val="Compact"/>
        <w:numPr>
          <w:ilvl w:val="0"/>
          <w:numId w:val="1013"/>
        </w:numPr>
      </w:pPr>
      <w:r>
        <w:t xml:space="preserve">A</w:t>
      </w:r>
      <w:r>
        <w:t xml:space="preserve"> </w:t>
      </w:r>
      <w:r>
        <w:rPr>
          <w:b/>
          <w:bCs/>
        </w:rPr>
        <w:t xml:space="preserve">Vulnerability Disclosure Report (VDR)</w:t>
      </w:r>
      <w:r>
        <w:t xml:space="preserve"> </w:t>
      </w:r>
      <w:r>
        <w:t xml:space="preserve">— the OWASP CycloneDX artifact</w:t>
      </w:r>
      <w:r>
        <w:t xml:space="preserve"> </w:t>
      </w:r>
      <w:r>
        <w:t xml:space="preserve">enumerating known vulnerabilities in SBOM components (NIST SP 800-161)</w:t>
      </w:r>
    </w:p>
    <w:p>
      <w:pPr>
        <w:pStyle w:val="Compact"/>
        <w:numPr>
          <w:ilvl w:val="0"/>
          <w:numId w:val="1013"/>
        </w:numPr>
      </w:pPr>
      <w:r>
        <w:t xml:space="preserve">A</w:t>
      </w:r>
      <w:r>
        <w:t xml:space="preserve"> </w:t>
      </w:r>
      <w:r>
        <w:rPr>
          <w:b/>
          <w:bCs/>
        </w:rPr>
        <w:t xml:space="preserve">Vulnerability Exploitability eXchange (VEX)</w:t>
      </w:r>
      <w:r>
        <w:t xml:space="preserve"> </w:t>
      </w:r>
      <w:r>
        <w:t xml:space="preserve">document — a machine-readable</w:t>
      </w:r>
      <w:r>
        <w:t xml:space="preserve"> </w:t>
      </w:r>
      <w:r>
        <w:t xml:space="preserve">assertion for each CVE: is this vulnerability exploitable in this product, in</w:t>
      </w:r>
      <w:r>
        <w:t xml:space="preserve"> </w:t>
      </w:r>
      <w:r>
        <w:t xml:space="preserve">this deployment context?</w:t>
      </w:r>
    </w:p>
    <w:p>
      <w:pPr>
        <w:pStyle w:val="FirstParagraph"/>
      </w:pPr>
      <w:r>
        <w:t xml:space="preserve">This document establishes the technical architecture, pipeline, and governance</w:t>
      </w:r>
      <w:r>
        <w:t xml:space="preserve"> </w:t>
      </w:r>
      <w:r>
        <w:t xml:space="preserve">process for all three. It closes eight NIST SP 800-53 Rev 5 SR family controls</w:t>
      </w:r>
      <w:r>
        <w:t xml:space="preserve"> </w:t>
      </w:r>
      <w:r>
        <w:t xml:space="preserve">and provides the evidence contract that upgrades KSI-011 through KSI-014 from</w:t>
      </w:r>
      <w:r>
        <w:t xml:space="preserve"> </w:t>
      </w:r>
      <w:r>
        <w:t xml:space="preserve">scaffold to evaluable status.</w:t>
      </w:r>
    </w:p>
    <w:p>
      <w:r>
        <w:pict>
          <v:rect style="width:0;height:1.5pt" o:hralign="center" o:hrstd="t" o:hr="t"/>
        </w:pict>
      </w:r>
    </w:p>
    <w:bookmarkEnd w:id="58"/>
    <w:bookmarkEnd w:id="59"/>
    <w:bookmarkStart w:id="60" w:name="X78f3f86957882441686c2dc7f3fb5812e9b40d0"/>
    <w:p>
      <w:pPr>
        <w:pStyle w:val="Heading1"/>
      </w:pPr>
      <w:r>
        <w:t xml:space="preserve">The Supply-Chain Evidence Framework and the December 7, 2026 Deadline</w:t>
      </w:r>
    </w:p>
    <w:p>
      <w:pPr>
        <w:pStyle w:val="FirstParagraph"/>
      </w:pPr>
      <w:r>
        <w:t xml:space="preserve">The supply-chain evidence artifacts are mandated by EO 14028 §4, NIST SP 800-161,</w:t>
      </w:r>
      <w:r>
        <w:t xml:space="preserve"> </w:t>
      </w:r>
      <w:r>
        <w:t xml:space="preserve">and the SR control family —</w:t>
      </w:r>
      <w:r>
        <w:t xml:space="preserve"> </w:t>
      </w:r>
      <w:r>
        <w:rPr>
          <w:b/>
          <w:bCs/>
        </w:rPr>
        <w:t xml:space="preserve">not</w:t>
      </w:r>
      <w:r>
        <w:t xml:space="preserve"> </w:t>
      </w:r>
      <w:r>
        <w:t xml:space="preserve">by BOD 26-04 — and are produced in three</w:t>
      </w:r>
      <w:r>
        <w:t xml:space="preserve"> </w:t>
      </w:r>
      <w:r>
        <w:t xml:space="preserve">CycloneDX evidence tiers:</w:t>
      </w:r>
    </w:p>
    <w:p>
      <w:pPr>
        <w:pStyle w:val="TableCaption"/>
      </w:pPr>
      <w:r>
        <w:t xml:space="preserve">Supply-chain evidence tiers</w:t>
      </w:r>
    </w:p>
    <w:tbl>
      <w:tblPr>
        <w:tblStyle w:val="Table"/>
        <w:tblW w:type="pct" w:w="5000"/>
        <w:tblLayout w:type="fixed"/>
        <w:tblLook w:firstRow="1" w:lastRow="0" w:firstColumn="0" w:lastColumn="0" w:noHBand="0" w:noVBand="0" w:val="0020"/>
        <w:tblCaption w:val="Supply-chain evidence tiers"/>
      </w:tblPr>
      <w:tblGrid>
        <w:gridCol w:w="1760"/>
        <w:gridCol w:w="2933"/>
        <w:gridCol w:w="3226"/>
      </w:tblGrid>
      <w:tr>
        <w:trPr>
          <w:tblHeader w:val="on"/>
        </w:trPr>
        <w:tc>
          <w:tcPr/>
          <w:p>
            <w:pPr>
              <w:pStyle w:val="Compact"/>
            </w:pPr>
            <w:r>
              <w:t xml:space="preserve">Tier</w:t>
            </w:r>
          </w:p>
        </w:tc>
        <w:tc>
          <w:tcPr/>
          <w:p>
            <w:pPr>
              <w:pStyle w:val="Compact"/>
            </w:pPr>
            <w:r>
              <w:t xml:space="preserve">Artifact</w:t>
            </w:r>
          </w:p>
        </w:tc>
        <w:tc>
          <w:tcPr/>
          <w:p>
            <w:pPr>
              <w:pStyle w:val="Compact"/>
            </w:pPr>
            <w:r>
              <w:t xml:space="preserve">Authority</w:t>
            </w:r>
          </w:p>
        </w:tc>
      </w:tr>
      <w:tr>
        <w:tc>
          <w:tcPr/>
          <w:p>
            <w:pPr>
              <w:pStyle w:val="Compact"/>
            </w:pPr>
            <w:r>
              <w:rPr>
                <w:b/>
                <w:bCs/>
              </w:rPr>
              <w:t xml:space="preserve">Tier 1</w:t>
            </w:r>
          </w:p>
        </w:tc>
        <w:tc>
          <w:tcPr/>
          <w:p>
            <w:pPr>
              <w:pStyle w:val="Compact"/>
            </w:pPr>
            <w:r>
              <w:t xml:space="preserve">SBOM present for all production systems</w:t>
            </w:r>
          </w:p>
        </w:tc>
        <w:tc>
          <w:tcPr/>
          <w:p>
            <w:pPr>
              <w:pStyle w:val="Compact"/>
            </w:pPr>
            <w:r>
              <w:t xml:space="preserve">EO 14028 §4; CISA/NTIA minimum elements</w:t>
            </w:r>
          </w:p>
        </w:tc>
      </w:tr>
      <w:tr>
        <w:tc>
          <w:tcPr/>
          <w:p>
            <w:pPr>
              <w:pStyle w:val="Compact"/>
            </w:pPr>
            <w:r>
              <w:rPr>
                <w:b/>
                <w:bCs/>
              </w:rPr>
              <w:t xml:space="preserve">Tier 2</w:t>
            </w:r>
          </w:p>
        </w:tc>
        <w:tc>
          <w:tcPr/>
          <w:p>
            <w:pPr>
              <w:pStyle w:val="Compact"/>
            </w:pPr>
            <w:r>
              <w:t xml:space="preserve">VDR present — CycloneDX Vulnerability Disclosure Report for all SBOM components</w:t>
            </w:r>
          </w:p>
        </w:tc>
        <w:tc>
          <w:tcPr/>
          <w:p>
            <w:pPr>
              <w:pStyle w:val="Compact"/>
            </w:pPr>
            <w:r>
              <w:t xml:space="preserve">NIST SP 800-161; OWASP CycloneDX</w:t>
            </w:r>
          </w:p>
        </w:tc>
      </w:tr>
      <w:tr>
        <w:tc>
          <w:tcPr/>
          <w:p>
            <w:pPr>
              <w:pStyle w:val="Compact"/>
            </w:pPr>
            <w:r>
              <w:rPr>
                <w:b/>
                <w:bCs/>
              </w:rPr>
              <w:t xml:space="preserve">Tier 3</w:t>
            </w:r>
          </w:p>
        </w:tc>
        <w:tc>
          <w:tcPr/>
          <w:p>
            <w:pPr>
              <w:pStyle w:val="Compact"/>
            </w:pPr>
            <w:r>
              <w:t xml:space="preserve">VEX present — exploitability assertions for all CVEs in the VDR</w:t>
            </w:r>
          </w:p>
        </w:tc>
        <w:tc>
          <w:tcPr/>
          <w:p>
            <w:pPr>
              <w:pStyle w:val="Compact"/>
            </w:pPr>
            <w:r>
              <w:t xml:space="preserve">NIST SP 800-161; OWASP CycloneDX</w:t>
            </w:r>
          </w:p>
        </w:tc>
      </w:tr>
    </w:tbl>
    <w:p>
      <w:pPr>
        <w:pStyle w:val="BodyText"/>
      </w:pPr>
      <w:r>
        <w:t xml:space="preserve">Two instruments then carry a</w:t>
      </w:r>
      <w:r>
        <w:t xml:space="preserve"> </w:t>
      </w:r>
      <w:r>
        <w:rPr>
          <w:b/>
          <w:bCs/>
        </w:rPr>
        <w:t xml:space="preserve">December 7, 2026</w:t>
      </w:r>
      <w:r>
        <w:t xml:space="preserve"> </w:t>
      </w:r>
      <w:r>
        <w:t xml:space="preserve">deadline that this program</w:t>
      </w:r>
      <w:r>
        <w:t xml:space="preserve"> </w:t>
      </w:r>
      <w:r>
        <w:t xml:space="preserve">aligns to.</w:t>
      </w:r>
      <w:r>
        <w:t xml:space="preserve"> </w:t>
      </w:r>
      <w:r>
        <w:rPr>
          <w:b/>
          <w:bCs/>
        </w:rPr>
        <w:t xml:space="preserve">CISA BOD 26-04</w:t>
      </w:r>
      <w:r>
        <w:t xml:space="preserve"> </w:t>
      </w:r>
      <w:r>
        <w:t xml:space="preserve">sets risk-tiered</w:t>
      </w:r>
      <w:r>
        <w:t xml:space="preserve"> </w:t>
      </w:r>
      <w:r>
        <w:rPr>
          <w:i/>
          <w:iCs/>
        </w:rPr>
        <w:t xml:space="preserve">remediation</w:t>
      </w:r>
      <w:r>
        <w:t xml:space="preserve"> </w:t>
      </w:r>
      <w:r>
        <w:t xml:space="preserve">timelines — a</w:t>
      </w:r>
      <w:r>
        <w:t xml:space="preserve"> </w:t>
      </w:r>
      <w:r>
        <w:t xml:space="preserve">four-variable KEV/exposure/automatability/impact model with 3/14/60-day bands,</w:t>
      </w:r>
      <w:r>
        <w:t xml:space="preserve"> </w:t>
      </w:r>
      <w:r>
        <w:t xml:space="preserve">the SLAs the pipeline’s blocking gate enforces — and does not mandate the</w:t>
      </w:r>
      <w:r>
        <w:t xml:space="preserve"> </w:t>
      </w:r>
      <w:r>
        <w:t xml:space="preserve">artifacts above.</w:t>
      </w:r>
      <w:r>
        <w:t xml:space="preserve"> </w:t>
      </w:r>
      <w:r>
        <w:rPr>
          <w:b/>
          <w:bCs/>
        </w:rPr>
        <w:t xml:space="preserve">FedRAMP NTC-0014</w:t>
      </w:r>
      <w:r>
        <w:t xml:space="preserve"> </w:t>
      </w:r>
      <w:r>
        <w:t xml:space="preserve">makes the FedRAMP VDR/VER rule sets</w:t>
      </w:r>
      <w:r>
        <w:t xml:space="preserve"> </w:t>
      </w:r>
      <w:r>
        <w:t xml:space="preserve">mandatory for FedRAMP offerings on the same date. The evidence pipeline serves</w:t>
      </w:r>
      <w:r>
        <w:t xml:space="preserve"> </w:t>
      </w:r>
      <w:r>
        <w:t xml:space="preserve">both: it produces the SBOM/VDR/VEX artifacts (EO 14028 §4) and enforces the</w:t>
      </w:r>
      <w:r>
        <w:t xml:space="preserve"> </w:t>
      </w:r>
      <w:r>
        <w:t xml:space="preserve">BOD 26-04 remediation SLAs against what they surface.</w:t>
      </w:r>
    </w:p>
    <w:p>
      <w:pPr>
        <w:pStyle w:val="BodyText"/>
      </w:pPr>
      <w:r>
        <w:t xml:space="preserve">Under FedRAMP 20x Consolidated Rules, the same data serves as the machine-readable</w:t>
      </w:r>
      <w:r>
        <w:t xml:space="preserve"> </w:t>
      </w:r>
      <w:r>
        <w:t xml:space="preserve">evidence package for KSI-SCR (Supply Chain Risk), KSI-CMT-VTD (Validation</w:t>
      </w:r>
      <w:r>
        <w:t xml:space="preserve"> </w:t>
      </w:r>
      <w:r>
        <w:t xml:space="preserve">Throughout Deployment), and the SR control family assessment.</w:t>
      </w:r>
    </w:p>
    <w:p>
      <w:r>
        <w:pict>
          <v:rect style="width:0;height:1.5pt" o:hralign="center" o:hrstd="t" o:hr="t"/>
        </w:pict>
      </w:r>
    </w:p>
    <w:bookmarkEnd w:id="60"/>
    <w:bookmarkStart w:id="65" w:name="architecture-the-sbomvdrvex-pipeline"/>
    <w:p>
      <w:pPr>
        <w:pStyle w:val="Heading1"/>
      </w:pPr>
      <w:r>
        <w:t xml:space="preserve">Architecture: The SBOM/VDR/VEX Pipeline</w:t>
      </w:r>
    </w:p>
    <w:bookmarkStart w:id="61" w:name="pipeline-overview"/>
    <w:p>
      <w:pPr>
        <w:pStyle w:val="Heading2"/>
      </w:pPr>
      <w:r>
        <w:t xml:space="preserve">Pipeline Overview</w:t>
      </w:r>
    </w:p>
    <w:p>
      <w:pPr>
        <w:pStyle w:val="SourceCode"/>
      </w:pPr>
      <w:r>
        <w:rPr>
          <w:rStyle w:val="VerbatimChar"/>
        </w:rPr>
        <w:t xml:space="preserve">┌─────────────────────────────────────────────────────────────────────┐</w:t>
      </w:r>
      <w:r>
        <w:br/>
      </w:r>
      <w:r>
        <w:rPr>
          <w:rStyle w:val="VerbatimChar"/>
        </w:rPr>
        <w:t xml:space="preserve">│  Source Code + Dependencies                                          │</w:t>
      </w:r>
      <w:r>
        <w:br/>
      </w:r>
      <w:r>
        <w:rPr>
          <w:rStyle w:val="VerbatimChar"/>
        </w:rPr>
        <w:t xml:space="preserve">│  (GitHub repos, container images, IaC artifacts)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SBOM Generation (GitHub Actions CI)                                 │</w:t>
      </w:r>
      <w:r>
        <w:br/>
      </w:r>
      <w:r>
        <w:rPr>
          <w:rStyle w:val="VerbatimChar"/>
        </w:rPr>
        <w:t xml:space="preserve">│  Tool: Syft (Anchore) — outputs CycloneDX 1.6 XML                  │</w:t>
      </w:r>
      <w:r>
        <w:br/>
      </w:r>
      <w:r>
        <w:rPr>
          <w:rStyle w:val="VerbatimChar"/>
        </w:rPr>
        <w:t xml:space="preserve">│  Triggered: every push to main, every release tag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Vulnerability Scan (VDR Generation)                                 │</w:t>
      </w:r>
      <w:r>
        <w:br/>
      </w:r>
      <w:r>
        <w:rPr>
          <w:rStyle w:val="VerbatimChar"/>
        </w:rPr>
        <w:t xml:space="preserve">│  Tool: Grype (Anchore) or Trivy — matches SBOM components to NVD   │</w:t>
      </w:r>
      <w:r>
        <w:br/>
      </w:r>
      <w:r>
        <w:rPr>
          <w:rStyle w:val="VerbatimChar"/>
        </w:rPr>
        <w:t xml:space="preserve">│  Input: CycloneDX SBOM  Output: CycloneDX VDR (CVE list + scores)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VEX Authoring (Exploitability Assertion)                            │</w:t>
      </w:r>
      <w:r>
        <w:br/>
      </w:r>
      <w:r>
        <w:rPr>
          <w:rStyle w:val="VerbatimChar"/>
        </w:rPr>
        <w:t xml:space="preserve">│  Tool: OpenVEX CLI or CycloneDX VEX tooling                        │</w:t>
      </w:r>
      <w:r>
        <w:br/>
      </w:r>
      <w:r>
        <w:rPr>
          <w:rStyle w:val="VerbatimChar"/>
        </w:rPr>
        <w:t xml:space="preserve">│  Output: VEX document asserting not_affected / affected / fixed     │</w:t>
      </w:r>
      <w:r>
        <w:br/>
      </w:r>
      <w:r>
        <w:rPr>
          <w:rStyle w:val="VerbatimChar"/>
        </w:rPr>
        <w:t xml:space="preserve">│  per CVE per product component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Artifact Storage (GitHub Releases + Azure Blob immutable tier)     │</w:t>
      </w:r>
      <w:r>
        <w:br/>
      </w:r>
      <w:r>
        <w:rPr>
          <w:rStyle w:val="VerbatimChar"/>
        </w:rPr>
        <w:t xml:space="preserve">│  Retention: 7 years (NARA standard)                                  │</w:t>
      </w:r>
      <w:r>
        <w:br/>
      </w:r>
      <w:r>
        <w:rPr>
          <w:rStyle w:val="VerbatimChar"/>
        </w:rPr>
        <w:t xml:space="preserve">│  Access: Signed URLs for agency evidence repo + downstream sharing   │</w:t>
      </w:r>
      <w:r>
        <w:br/>
      </w:r>
      <w:r>
        <w:rPr>
          <w:rStyle w:val="VerbatimChar"/>
        </w:rPr>
        <w:t xml:space="preserve">└───────────────────┬─────────────────────────────────────────────────┘</w:t>
      </w:r>
      <w:r>
        <w:br/>
      </w:r>
      <w:r>
        <w:rPr>
          <w:rStyle w:val="VerbatimChar"/>
        </w:rPr>
        <w:t xml:space="preserve">                    │</w:t>
      </w:r>
      <w:r>
        <w:br/>
      </w:r>
      <w:r>
        <w:rPr>
          <w:rStyle w:val="VerbatimChar"/>
        </w:rPr>
        <w:t xml:space="preserve">                    ▼</w:t>
      </w:r>
      <w:r>
        <w:br/>
      </w:r>
      <w:r>
        <w:rPr>
          <w:rStyle w:val="VerbatimChar"/>
        </w:rPr>
        <w:t xml:space="preserve">┌─────────────────────────────────────────────────────────────────────┐</w:t>
      </w:r>
      <w:r>
        <w:br/>
      </w:r>
      <w:r>
        <w:rPr>
          <w:rStyle w:val="VerbatimChar"/>
        </w:rPr>
        <w:t xml:space="preserve">│  Agency Evidence Repository + Sentinel KSI Dashboard Ingestion      │</w:t>
      </w:r>
      <w:r>
        <w:br/>
      </w:r>
      <w:r>
        <w:rPr>
          <w:rStyle w:val="VerbatimChar"/>
        </w:rPr>
        <w:t xml:space="preserve">│  Feedback loop: new CVEs trigger Defender VM alert (Part 11 chain)   │</w:t>
      </w:r>
      <w:r>
        <w:br/>
      </w:r>
      <w:r>
        <w:rPr>
          <w:rStyle w:val="VerbatimChar"/>
        </w:rPr>
        <w:t xml:space="preserve">└─────────────────────────────────────────────────────────────────────┘</w:t>
      </w:r>
    </w:p>
    <w:bookmarkEnd w:id="61"/>
    <w:bookmarkStart w:id="64" w:name="sbom-generation-with-syft"/>
    <w:p>
      <w:pPr>
        <w:pStyle w:val="Heading2"/>
      </w:pPr>
      <w:r>
        <w:t xml:space="preserve">SBOM Generation with Syft</w:t>
      </w:r>
    </w:p>
    <w:p>
      <w:pPr>
        <w:pStyle w:val="FirstParagraph"/>
      </w:pPr>
      <w:r>
        <w:t xml:space="preserve">Syft (Anchore) is a widely used SBOM generator for federal systems. It</w:t>
      </w:r>
      <w:r>
        <w:t xml:space="preserve"> </w:t>
      </w:r>
      <w:r>
        <w:t xml:space="preserve">produces CycloneDX 1.6 XML natively, a format consistent with CISA’s VEX</w:t>
      </w:r>
      <w:r>
        <w:t xml:space="preserve"> </w:t>
      </w:r>
      <w:r>
        <w:t xml:space="preserve">minimum requirements and the 2025 CISA SBOM minimum elements.</w:t>
      </w:r>
    </w:p>
    <w:bookmarkStart w:id="62" w:name="github-actions-integration"/>
    <w:p>
      <w:pPr>
        <w:pStyle w:val="Heading3"/>
      </w:pPr>
      <w:r>
        <w:t xml:space="preserve">GitHub Actions Integration</w:t>
      </w:r>
    </w:p>
    <w:p>
      <w:pPr>
        <w:pStyle w:val="SourceCode"/>
      </w:pPr>
      <w:r>
        <w:rPr>
          <w:rStyle w:val="CommentTok"/>
        </w:rPr>
        <w:t xml:space="preserve"># .github/workflows/sbom.yml</w:t>
      </w:r>
      <w:r>
        <w:br/>
      </w:r>
      <w:r>
        <w:rPr>
          <w:rStyle w:val="FunctionTok"/>
        </w:rPr>
        <w:t xml:space="preserve">name</w:t>
      </w:r>
      <w:r>
        <w:rPr>
          <w:rStyle w:val="KeywordTok"/>
        </w:rPr>
        <w:t xml:space="preserve">:</w:t>
      </w:r>
      <w:r>
        <w:rPr>
          <w:rStyle w:val="AttributeTok"/>
        </w:rPr>
        <w:t xml:space="preserve"> SBOM + VDR Generation</w:t>
      </w:r>
      <w:r>
        <w:br/>
      </w:r>
      <w:r>
        <w:br/>
      </w:r>
      <w:r>
        <w:rPr>
          <w:rStyle w:val="FunctionTok"/>
        </w:rPr>
        <w:t xml:space="preserve">on</w:t>
      </w:r>
      <w:r>
        <w:rPr>
          <w:rStyle w:val="KeywordTok"/>
        </w:rPr>
        <w:t xml:space="preserve">:</w:t>
      </w:r>
      <w:r>
        <w:br/>
      </w:r>
      <w:r>
        <w:rPr>
          <w:rStyle w:val="AttributeTok"/>
        </w:rPr>
        <w:t xml:space="preserve">  </w:t>
      </w:r>
      <w:r>
        <w:rPr>
          <w:rStyle w:val="FunctionTok"/>
        </w:rPr>
        <w:t xml:space="preserve">push</w:t>
      </w:r>
      <w:r>
        <w:rPr>
          <w:rStyle w:val="KeywordTok"/>
        </w:rPr>
        <w:t xml:space="preserve">:</w:t>
      </w:r>
      <w:r>
        <w:br/>
      </w:r>
      <w:r>
        <w:rPr>
          <w:rStyle w:val="AttributeTok"/>
        </w:rPr>
        <w:t xml:space="preserve">    </w:t>
      </w:r>
      <w:r>
        <w:rPr>
          <w:rStyle w:val="FunctionTok"/>
        </w:rPr>
        <w:t xml:space="preserve">branches</w:t>
      </w:r>
      <w:r>
        <w:rPr>
          <w:rStyle w:val="KeywordTok"/>
        </w:rPr>
        <w:t xml:space="preserve">:</w:t>
      </w:r>
      <w:r>
        <w:rPr>
          <w:rStyle w:val="AttributeTok"/>
        </w:rPr>
        <w:t xml:space="preserve"> </w:t>
      </w:r>
      <w:r>
        <w:rPr>
          <w:rStyle w:val="KeywordTok"/>
        </w:rPr>
        <w:t xml:space="preserve">[</w:t>
      </w:r>
      <w:r>
        <w:rPr>
          <w:rStyle w:val="AttributeTok"/>
        </w:rPr>
        <w:t xml:space="preserve">main</w:t>
      </w:r>
      <w:r>
        <w:rPr>
          <w:rStyle w:val="KeywordTok"/>
        </w:rPr>
        <w:t xml:space="preserve">]</w:t>
      </w:r>
      <w:r>
        <w:br/>
      </w:r>
      <w:r>
        <w:rPr>
          <w:rStyle w:val="AttributeTok"/>
        </w:rPr>
        <w:t xml:space="preserve">  </w:t>
      </w:r>
      <w:r>
        <w:rPr>
          <w:rStyle w:val="FunctionTok"/>
        </w:rPr>
        <w:t xml:space="preserve">release</w:t>
      </w:r>
      <w:r>
        <w:rPr>
          <w:rStyle w:val="KeywordTok"/>
        </w:rPr>
        <w:t xml:space="preserve">:</w:t>
      </w:r>
      <w:r>
        <w:br/>
      </w:r>
      <w:r>
        <w:rPr>
          <w:rStyle w:val="AttributeTok"/>
        </w:rPr>
        <w:t xml:space="preserve">    </w:t>
      </w:r>
      <w:r>
        <w:rPr>
          <w:rStyle w:val="FunctionTok"/>
        </w:rPr>
        <w:t xml:space="preserve">types</w:t>
      </w:r>
      <w:r>
        <w:rPr>
          <w:rStyle w:val="KeywordTok"/>
        </w:rPr>
        <w:t xml:space="preserve">:</w:t>
      </w:r>
      <w:r>
        <w:rPr>
          <w:rStyle w:val="AttributeTok"/>
        </w:rPr>
        <w:t xml:space="preserve"> </w:t>
      </w:r>
      <w:r>
        <w:rPr>
          <w:rStyle w:val="KeywordTok"/>
        </w:rPr>
        <w:t xml:space="preserve">[</w:t>
      </w:r>
      <w:r>
        <w:rPr>
          <w:rStyle w:val="AttributeTok"/>
        </w:rPr>
        <w:t xml:space="preserve">published</w:t>
      </w:r>
      <w:r>
        <w:rPr>
          <w:rStyle w:val="KeywordTok"/>
        </w:rPr>
        <w:t xml:space="preserve">]</w:t>
      </w:r>
      <w:r>
        <w:br/>
      </w:r>
      <w:r>
        <w:br/>
      </w:r>
      <w:r>
        <w:rPr>
          <w:rStyle w:val="FunctionTok"/>
        </w:rPr>
        <w:t xml:space="preserve">jobs</w:t>
      </w:r>
      <w:r>
        <w:rPr>
          <w:rStyle w:val="KeywordTok"/>
        </w:rPr>
        <w:t xml:space="preserve">:</w:t>
      </w:r>
      <w:r>
        <w:br/>
      </w:r>
      <w:r>
        <w:rPr>
          <w:rStyle w:val="AttributeTok"/>
        </w:rPr>
        <w:t xml:space="preserve">  </w:t>
      </w:r>
      <w:r>
        <w:rPr>
          <w:rStyle w:val="FunctionTok"/>
        </w:rPr>
        <w:t xml:space="preserve">sbom</w:t>
      </w:r>
      <w:r>
        <w:rPr>
          <w:rStyle w:val="KeywordTok"/>
        </w:rPr>
        <w:t xml:space="preserve">:</w:t>
      </w:r>
      <w:r>
        <w:br/>
      </w:r>
      <w:r>
        <w:rPr>
          <w:rStyle w:val="AttributeTok"/>
        </w:rPr>
        <w:t xml:space="preserve">    </w:t>
      </w:r>
      <w:r>
        <w:rPr>
          <w:rStyle w:val="FunctionTok"/>
        </w:rPr>
        <w:t xml:space="preserve">runs-on</w:t>
      </w:r>
      <w:r>
        <w:rPr>
          <w:rStyle w:val="KeywordTok"/>
        </w:rPr>
        <w:t xml:space="preserve">:</w:t>
      </w:r>
      <w:r>
        <w:rPr>
          <w:rStyle w:val="AttributeTok"/>
        </w:rPr>
        <w:t xml:space="preserve"> ubuntu-latest</w:t>
      </w:r>
      <w:r>
        <w:br/>
      </w:r>
      <w:r>
        <w:rPr>
          <w:rStyle w:val="AttributeTok"/>
        </w:rPr>
        <w:t xml:space="preserve">    </w:t>
      </w:r>
      <w:r>
        <w:rPr>
          <w:rStyle w:val="FunctionTok"/>
        </w:rPr>
        <w:t xml:space="preserve">permissions</w:t>
      </w:r>
      <w:r>
        <w:rPr>
          <w:rStyle w:val="KeywordTok"/>
        </w:rPr>
        <w:t xml:space="preserve">:</w:t>
      </w:r>
      <w:r>
        <w:br/>
      </w:r>
      <w:r>
        <w:rPr>
          <w:rStyle w:val="AttributeTok"/>
        </w:rPr>
        <w:t xml:space="preserve">      </w:t>
      </w:r>
      <w:r>
        <w:rPr>
          <w:rStyle w:val="FunctionTok"/>
        </w:rPr>
        <w:t xml:space="preserve">contents</w:t>
      </w:r>
      <w:r>
        <w:rPr>
          <w:rStyle w:val="KeywordTok"/>
        </w:rPr>
        <w:t xml:space="preserve">:</w:t>
      </w:r>
      <w:r>
        <w:rPr>
          <w:rStyle w:val="AttributeTok"/>
        </w:rPr>
        <w:t xml:space="preserve"> write</w:t>
      </w:r>
      <w:r>
        <w:br/>
      </w:r>
      <w:r>
        <w:rPr>
          <w:rStyle w:val="AttributeTok"/>
        </w:rPr>
        <w:t xml:space="preserve">      </w:t>
      </w:r>
      <w:r>
        <w:rPr>
          <w:rStyle w:val="FunctionTok"/>
        </w:rPr>
        <w:t xml:space="preserve">security-events</w:t>
      </w:r>
      <w:r>
        <w:rPr>
          <w:rStyle w:val="KeywordTok"/>
        </w:rPr>
        <w:t xml:space="preserve">:</w:t>
      </w:r>
      <w:r>
        <w:rPr>
          <w:rStyle w:val="AttributeTok"/>
        </w:rPr>
        <w:t xml:space="preserve"> write</w:t>
      </w:r>
      <w:r>
        <w:br/>
      </w:r>
      <w:r>
        <w:br/>
      </w:r>
      <w:r>
        <w:rPr>
          <w:rStyle w:val="AttributeTok"/>
        </w:rPr>
        <w:t xml:space="preserve">    </w:t>
      </w:r>
      <w:r>
        <w:rPr>
          <w:rStyle w:val="FunctionTok"/>
        </w:rPr>
        <w:t xml:space="preserve">steps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actions/checkout@v4</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Generate SBOM (CycloneDX 1.6)</w:t>
      </w:r>
      <w:r>
        <w:br/>
      </w:r>
      <w:r>
        <w:rPr>
          <w:rStyle w:val="AttributeTok"/>
        </w:rPr>
        <w:t xml:space="preserve">        </w:t>
      </w:r>
      <w:r>
        <w:rPr>
          <w:rStyle w:val="FunctionTok"/>
        </w:rPr>
        <w:t xml:space="preserve">uses</w:t>
      </w:r>
      <w:r>
        <w:rPr>
          <w:rStyle w:val="KeywordTok"/>
        </w:rPr>
        <w:t xml:space="preserve">:</w:t>
      </w:r>
      <w:r>
        <w:rPr>
          <w:rStyle w:val="AttributeTok"/>
        </w:rPr>
        <w:t xml:space="preserve"> anchore/sbom-action@v0</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format</w:t>
      </w:r>
      <w:r>
        <w:rPr>
          <w:rStyle w:val="KeywordTok"/>
        </w:rPr>
        <w:t xml:space="preserve">:</w:t>
      </w:r>
      <w:r>
        <w:rPr>
          <w:rStyle w:val="AttributeTok"/>
        </w:rPr>
        <w:t xml:space="preserve"> cyclonedx-xml</w:t>
      </w:r>
      <w:r>
        <w:br/>
      </w:r>
      <w:r>
        <w:rPr>
          <w:rStyle w:val="AttributeTok"/>
        </w:rPr>
        <w:t xml:space="preserve">          </w:t>
      </w:r>
      <w:r>
        <w:rPr>
          <w:rStyle w:val="FunctionTok"/>
        </w:rPr>
        <w:t xml:space="preserve">output-file</w:t>
      </w:r>
      <w:r>
        <w:rPr>
          <w:rStyle w:val="KeywordTok"/>
        </w:rPr>
        <w:t xml:space="preserve">:</w:t>
      </w:r>
      <w:r>
        <w:rPr>
          <w:rStyle w:val="AttributeTok"/>
        </w:rPr>
        <w:t xml:space="preserve"> sbom-${{ github.sha }}.xml</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Scan SBOM for Vulnerabilities (VDR)</w:t>
      </w:r>
      <w:r>
        <w:br/>
      </w:r>
      <w:r>
        <w:rPr>
          <w:rStyle w:val="AttributeTok"/>
        </w:rPr>
        <w:t xml:space="preserve">        </w:t>
      </w:r>
      <w:r>
        <w:rPr>
          <w:rStyle w:val="FunctionTok"/>
        </w:rPr>
        <w:t xml:space="preserve">uses</w:t>
      </w:r>
      <w:r>
        <w:rPr>
          <w:rStyle w:val="KeywordTok"/>
        </w:rPr>
        <w:t xml:space="preserve">:</w:t>
      </w:r>
      <w:r>
        <w:rPr>
          <w:rStyle w:val="AttributeTok"/>
        </w:rPr>
        <w:t xml:space="preserve"> anchore/scan-action@v3</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sbom</w:t>
      </w:r>
      <w:r>
        <w:rPr>
          <w:rStyle w:val="KeywordTok"/>
        </w:rPr>
        <w:t xml:space="preserve">:</w:t>
      </w:r>
      <w:r>
        <w:rPr>
          <w:rStyle w:val="AttributeTok"/>
        </w:rPr>
        <w:t xml:space="preserve"> sbom-${{ github.sha }}.xml</w:t>
      </w:r>
      <w:r>
        <w:br/>
      </w:r>
      <w:r>
        <w:rPr>
          <w:rStyle w:val="AttributeTok"/>
        </w:rPr>
        <w:t xml:space="preserve">          </w:t>
      </w:r>
      <w:r>
        <w:rPr>
          <w:rStyle w:val="FunctionTok"/>
        </w:rPr>
        <w:t xml:space="preserve">output-format</w:t>
      </w:r>
      <w:r>
        <w:rPr>
          <w:rStyle w:val="KeywordTok"/>
        </w:rPr>
        <w:t xml:space="preserve">:</w:t>
      </w:r>
      <w:r>
        <w:rPr>
          <w:rStyle w:val="AttributeTok"/>
        </w:rPr>
        <w:t xml:space="preserve"> cyclonedx-xml</w:t>
      </w:r>
      <w:r>
        <w:br/>
      </w:r>
      <w:r>
        <w:rPr>
          <w:rStyle w:val="AttributeTok"/>
        </w:rPr>
        <w:t xml:space="preserve">          </w:t>
      </w:r>
      <w:r>
        <w:rPr>
          <w:rStyle w:val="FunctionTok"/>
        </w:rPr>
        <w:t xml:space="preserve">output-file</w:t>
      </w:r>
      <w:r>
        <w:rPr>
          <w:rStyle w:val="KeywordTok"/>
        </w:rPr>
        <w:t xml:space="preserve">:</w:t>
      </w:r>
      <w:r>
        <w:rPr>
          <w:rStyle w:val="AttributeTok"/>
        </w:rPr>
        <w:t xml:space="preserve"> vdr-${{ github.sha }}.xml</w:t>
      </w:r>
      <w:r>
        <w:br/>
      </w:r>
      <w:r>
        <w:rPr>
          <w:rStyle w:val="AttributeTok"/>
        </w:rPr>
        <w:t xml:space="preserve">          </w:t>
      </w:r>
      <w:r>
        <w:rPr>
          <w:rStyle w:val="FunctionTok"/>
        </w:rPr>
        <w:t xml:space="preserve">fail-build</w:t>
      </w:r>
      <w:r>
        <w:rPr>
          <w:rStyle w:val="KeywordTok"/>
        </w:rPr>
        <w:t xml:space="preserve">:</w:t>
      </w:r>
      <w:r>
        <w:rPr>
          <w:rStyle w:val="AttributeTok"/>
        </w:rPr>
        <w:t xml:space="preserve"> </w:t>
      </w:r>
      <w:r>
        <w:rPr>
          <w:rStyle w:val="CharTok"/>
        </w:rPr>
        <w:t xml:space="preserve">false</w:t>
      </w:r>
      <w:r>
        <w:br/>
      </w:r>
      <w:r>
        <w:rPr>
          <w:rStyle w:val="AttributeTok"/>
        </w:rPr>
        <w:t xml:space="preserve">        </w:t>
      </w:r>
      <w:r>
        <w:rPr>
          <w:rStyle w:val="FunctionTok"/>
        </w:rPr>
        <w:t xml:space="preserve">id</w:t>
      </w:r>
      <w:r>
        <w:rPr>
          <w:rStyle w:val="KeywordTok"/>
        </w:rPr>
        <w:t xml:space="preserve">:</w:t>
      </w:r>
      <w:r>
        <w:rPr>
          <w:rStyle w:val="AttributeTok"/>
        </w:rPr>
        <w:t xml:space="preserve"> scan</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Upload SBOM + VDR as release assets</w:t>
      </w:r>
      <w:r>
        <w:br/>
      </w:r>
      <w:r>
        <w:rPr>
          <w:rStyle w:val="AttributeTok"/>
        </w:rPr>
        <w:t xml:space="preserve">        </w:t>
      </w:r>
      <w:r>
        <w:rPr>
          <w:rStyle w:val="FunctionTok"/>
        </w:rPr>
        <w:t xml:space="preserve">if</w:t>
      </w:r>
      <w:r>
        <w:rPr>
          <w:rStyle w:val="KeywordTok"/>
        </w:rPr>
        <w:t xml:space="preserve">:</w:t>
      </w:r>
      <w:r>
        <w:rPr>
          <w:rStyle w:val="AttributeTok"/>
        </w:rPr>
        <w:t xml:space="preserve"> github.event_name == 'release'</w:t>
      </w:r>
      <w:r>
        <w:br/>
      </w:r>
      <w:r>
        <w:rPr>
          <w:rStyle w:val="AttributeTok"/>
        </w:rPr>
        <w:t xml:space="preserve">        </w:t>
      </w:r>
      <w:r>
        <w:rPr>
          <w:rStyle w:val="FunctionTok"/>
        </w:rPr>
        <w:t xml:space="preserve">uses</w:t>
      </w:r>
      <w:r>
        <w:rPr>
          <w:rStyle w:val="KeywordTok"/>
        </w:rPr>
        <w:t xml:space="preserve">:</w:t>
      </w:r>
      <w:r>
        <w:rPr>
          <w:rStyle w:val="AttributeTok"/>
        </w:rPr>
        <w:t xml:space="preserve"> softprops/action-gh-release@v2</w:t>
      </w:r>
      <w:r>
        <w:br/>
      </w:r>
      <w:r>
        <w:rPr>
          <w:rStyle w:val="AttributeTok"/>
        </w:rPr>
        <w:t xml:space="preserve">        </w:t>
      </w:r>
      <w:r>
        <w:rPr>
          <w:rStyle w:val="FunctionTok"/>
        </w:rPr>
        <w:t xml:space="preserve">with</w:t>
      </w:r>
      <w:r>
        <w:rPr>
          <w:rStyle w:val="KeywordTok"/>
        </w:rPr>
        <w:t xml:space="preserve">:</w:t>
      </w:r>
      <w:r>
        <w:br/>
      </w:r>
      <w:r>
        <w:rPr>
          <w:rStyle w:val="FunctionTok"/>
        </w:rPr>
        <w:t xml:space="preserve">          files</w:t>
      </w:r>
      <w:r>
        <w:rPr>
          <w:rStyle w:val="KeywordTok"/>
        </w:rPr>
        <w:t xml:space="preserve">: </w:t>
      </w:r>
      <w:r>
        <w:rPr>
          <w:rStyle w:val="CharTok"/>
        </w:rPr>
        <w:t xml:space="preserve">|</w:t>
      </w:r>
      <w:r>
        <w:br/>
      </w:r>
      <w:r>
        <w:rPr>
          <w:rStyle w:val="NormalTok"/>
        </w:rPr>
        <w:t xml:space="preserve">            sbom-${{ github.sha }}.xml</w:t>
      </w:r>
      <w:r>
        <w:br/>
      </w:r>
      <w:r>
        <w:rPr>
          <w:rStyle w:val="NormalTok"/>
        </w:rPr>
        <w:t xml:space="preserve">            vdr-${{ github.sha }}.xml</w:t>
      </w:r>
      <w:r>
        <w:br/>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Store to Azure Blob immutable tier</w:t>
      </w:r>
      <w:r>
        <w:br/>
      </w:r>
      <w:r>
        <w:rPr>
          <w:rStyle w:val="AttributeTok"/>
        </w:rPr>
        <w:t xml:space="preserve">        </w:t>
      </w:r>
      <w:r>
        <w:rPr>
          <w:rStyle w:val="FunctionTok"/>
        </w:rPr>
        <w:t xml:space="preserve">env</w:t>
      </w:r>
      <w:r>
        <w:rPr>
          <w:rStyle w:val="KeywordTok"/>
        </w:rPr>
        <w:t xml:space="preserve">:</w:t>
      </w:r>
      <w:r>
        <w:br/>
      </w:r>
      <w:r>
        <w:rPr>
          <w:rStyle w:val="AttributeTok"/>
        </w:rPr>
        <w:t xml:space="preserve">          </w:t>
      </w:r>
      <w:r>
        <w:rPr>
          <w:rStyle w:val="FunctionTok"/>
        </w:rPr>
        <w:t xml:space="preserve">AZURE_STORAGE_ACCOUNT</w:t>
      </w:r>
      <w:r>
        <w:rPr>
          <w:rStyle w:val="KeywordTok"/>
        </w:rPr>
        <w:t xml:space="preserve">:</w:t>
      </w:r>
      <w:r>
        <w:rPr>
          <w:rStyle w:val="AttributeTok"/>
        </w:rPr>
        <w:t xml:space="preserve"> ${{ secrets.SBOM_STORAGE_ACCOUNT }}</w:t>
      </w:r>
      <w:r>
        <w:br/>
      </w:r>
      <w:r>
        <w:rPr>
          <w:rStyle w:val="AttributeTok"/>
        </w:rPr>
        <w:t xml:space="preserve">          </w:t>
      </w:r>
      <w:r>
        <w:rPr>
          <w:rStyle w:val="FunctionTok"/>
        </w:rPr>
        <w:t xml:space="preserve">AZURE_STORAGE_SAS</w:t>
      </w:r>
      <w:r>
        <w:rPr>
          <w:rStyle w:val="KeywordTok"/>
        </w:rPr>
        <w:t xml:space="preserve">:</w:t>
      </w:r>
      <w:r>
        <w:rPr>
          <w:rStyle w:val="AttributeTok"/>
        </w:rPr>
        <w:t xml:space="preserve"> ${{ secrets.SBOM_STORAGE_SAS }}</w:t>
      </w:r>
      <w:r>
        <w:br/>
      </w:r>
      <w:r>
        <w:rPr>
          <w:rStyle w:val="FunctionTok"/>
        </w:rPr>
        <w:t xml:space="preserve">        run</w:t>
      </w:r>
      <w:r>
        <w:rPr>
          <w:rStyle w:val="KeywordTok"/>
        </w:rPr>
        <w:t xml:space="preserve">: </w:t>
      </w:r>
      <w:r>
        <w:rPr>
          <w:rStyle w:val="CharTok"/>
        </w:rPr>
        <w:t xml:space="preserve">|</w:t>
      </w:r>
      <w:r>
        <w:br/>
      </w:r>
      <w:r>
        <w:rPr>
          <w:rStyle w:val="NormalTok"/>
        </w:rPr>
        <w:t xml:space="preserve">          az storage blob upload \</w:t>
      </w:r>
      <w:r>
        <w:br/>
      </w:r>
      <w:r>
        <w:rPr>
          <w:rStyle w:val="NormalTok"/>
        </w:rPr>
        <w:t xml:space="preserve">            --account-name "$AZURE_STORAGE_ACCOUNT" \</w:t>
      </w:r>
      <w:r>
        <w:br/>
      </w:r>
      <w:r>
        <w:rPr>
          <w:rStyle w:val="NormalTok"/>
        </w:rPr>
        <w:t xml:space="preserve">            --sas-token "$AZURE_STORAGE_SAS" \</w:t>
      </w:r>
      <w:r>
        <w:br/>
      </w:r>
      <w:r>
        <w:rPr>
          <w:rStyle w:val="NormalTok"/>
        </w:rPr>
        <w:t xml:space="preserve">            --container-name sbom-archive \</w:t>
      </w:r>
      <w:r>
        <w:br/>
      </w:r>
      <w:r>
        <w:rPr>
          <w:rStyle w:val="NormalTok"/>
        </w:rPr>
        <w:t xml:space="preserve">            --name "$(date +%Y/%m/%d)/sbom-${{ github.sha }}.xml" \</w:t>
      </w:r>
      <w:r>
        <w:br/>
      </w:r>
      <w:r>
        <w:rPr>
          <w:rStyle w:val="NormalTok"/>
        </w:rPr>
        <w:t xml:space="preserve">            --file sbom-${{ github.sha }}.xml \</w:t>
      </w:r>
      <w:r>
        <w:br/>
      </w:r>
      <w:r>
        <w:rPr>
          <w:rStyle w:val="NormalTok"/>
        </w:rPr>
        <w:t xml:space="preserve">            --tier Archive</w:t>
      </w:r>
    </w:p>
    <w:bookmarkEnd w:id="62"/>
    <w:bookmarkStart w:id="63" w:name="X820fbecca140609b3209e51d8cedf105f62dca9"/>
    <w:p>
      <w:pPr>
        <w:pStyle w:val="Heading3"/>
      </w:pPr>
      <w:r>
        <w:t xml:space="preserve">SBOM Content Requirements (NTIA Minimum Elements)</w:t>
      </w:r>
    </w:p>
    <w:p>
      <w:pPr>
        <w:pStyle w:val="FirstParagraph"/>
      </w:pPr>
      <w:r>
        <w:t xml:space="preserve">The National Telecommunications and Information Administration (NTIA) defines</w:t>
      </w:r>
      <w:r>
        <w:t xml:space="preserve"> </w:t>
      </w:r>
      <w:r>
        <w:t xml:space="preserve">minimum SBOM elements. Syft satisfies all of them automatically:</w:t>
      </w:r>
    </w:p>
    <w:p>
      <w:pPr>
        <w:pStyle w:val="TableCaption"/>
      </w:pPr>
      <w:r>
        <w:t xml:space="preserve">NTIA Minimum SBOM Elements — Syft CycloneDX Coverage</w:t>
      </w:r>
    </w:p>
    <w:tbl>
      <w:tblPr>
        <w:tblStyle w:val="Table"/>
        <w:tblW w:type="pct" w:w="5000"/>
        <w:tblLayout w:type="fixed"/>
        <w:tblLook w:firstRow="1" w:lastRow="0" w:firstColumn="0" w:lastColumn="0" w:noHBand="0" w:noVBand="0" w:val="0020"/>
        <w:tblCaption w:val="NTIA Minimum SBOM Elements — Syft CycloneDX Coverage"/>
      </w:tblPr>
      <w:tblGrid>
        <w:gridCol w:w="2640"/>
        <w:gridCol w:w="2640"/>
        <w:gridCol w:w="2640"/>
      </w:tblGrid>
      <w:tr>
        <w:trPr>
          <w:tblHeader w:val="on"/>
        </w:trPr>
        <w:tc>
          <w:tcPr/>
          <w:p>
            <w:pPr>
              <w:pStyle w:val="Compact"/>
            </w:pPr>
            <w:r>
              <w:t xml:space="preserve">NTIA Element</w:t>
            </w:r>
          </w:p>
        </w:tc>
        <w:tc>
          <w:tcPr/>
          <w:p>
            <w:pPr>
              <w:pStyle w:val="Compact"/>
            </w:pPr>
            <w:r>
              <w:t xml:space="preserve">CycloneDX Field</w:t>
            </w:r>
          </w:p>
        </w:tc>
        <w:tc>
          <w:tcPr/>
          <w:p>
            <w:pPr>
              <w:pStyle w:val="Compact"/>
            </w:pPr>
            <w:r>
              <w:t xml:space="preserve">Syft Output</w:t>
            </w:r>
          </w:p>
        </w:tc>
      </w:tr>
      <w:tr>
        <w:tc>
          <w:tcPr/>
          <w:p>
            <w:pPr>
              <w:pStyle w:val="Compact"/>
            </w:pPr>
            <w:r>
              <w:t xml:space="preserve">Supplier name</w:t>
            </w:r>
          </w:p>
        </w:tc>
        <w:tc>
          <w:tcPr/>
          <w:p>
            <w:pPr>
              <w:pStyle w:val="Compact"/>
            </w:pPr>
            <w:r>
              <w:rPr>
                <w:rStyle w:val="VerbatimChar"/>
              </w:rPr>
              <w:t xml:space="preserve">supplier.name</w:t>
            </w:r>
          </w:p>
        </w:tc>
        <w:tc>
          <w:tcPr/>
          <w:p>
            <w:pPr>
              <w:pStyle w:val="Compact"/>
            </w:pPr>
            <w:r>
              <w:t xml:space="preserve">Extracted from package metadata</w:t>
            </w:r>
          </w:p>
        </w:tc>
      </w:tr>
      <w:tr>
        <w:tc>
          <w:tcPr/>
          <w:p>
            <w:pPr>
              <w:pStyle w:val="Compact"/>
            </w:pPr>
            <w:r>
              <w:t xml:space="preserve">Component name</w:t>
            </w:r>
          </w:p>
        </w:tc>
        <w:tc>
          <w:tcPr/>
          <w:p>
            <w:pPr>
              <w:pStyle w:val="Compact"/>
            </w:pPr>
            <w:r>
              <w:rPr>
                <w:rStyle w:val="VerbatimChar"/>
              </w:rPr>
              <w:t xml:space="preserve">component.name</w:t>
            </w:r>
          </w:p>
        </w:tc>
        <w:tc>
          <w:tcPr/>
          <w:p>
            <w:pPr>
              <w:pStyle w:val="Compact"/>
            </w:pPr>
            <w:r>
              <w:t xml:space="preserve">Package name</w:t>
            </w:r>
          </w:p>
        </w:tc>
      </w:tr>
      <w:tr>
        <w:tc>
          <w:tcPr/>
          <w:p>
            <w:pPr>
              <w:pStyle w:val="Compact"/>
            </w:pPr>
            <w:r>
              <w:t xml:space="preserve">Version</w:t>
            </w:r>
          </w:p>
        </w:tc>
        <w:tc>
          <w:tcPr/>
          <w:p>
            <w:pPr>
              <w:pStyle w:val="Compact"/>
            </w:pPr>
            <w:r>
              <w:rPr>
                <w:rStyle w:val="VerbatimChar"/>
              </w:rPr>
              <w:t xml:space="preserve">component.version</w:t>
            </w:r>
          </w:p>
        </w:tc>
        <w:tc>
          <w:tcPr/>
          <w:p>
            <w:pPr>
              <w:pStyle w:val="Compact"/>
            </w:pPr>
            <w:r>
              <w:t xml:space="preserve">Exact version string</w:t>
            </w:r>
          </w:p>
        </w:tc>
      </w:tr>
      <w:tr>
        <w:tc>
          <w:tcPr/>
          <w:p>
            <w:pPr>
              <w:pStyle w:val="Compact"/>
            </w:pPr>
            <w:r>
              <w:t xml:space="preserve">Other unique identifiers</w:t>
            </w:r>
          </w:p>
        </w:tc>
        <w:tc>
          <w:tcPr/>
          <w:p>
            <w:pPr>
              <w:pStyle w:val="Compact"/>
            </w:pPr>
            <w:r>
              <w:rPr>
                <w:rStyle w:val="VerbatimChar"/>
              </w:rPr>
              <w:t xml:space="preserve">component.purl</w:t>
            </w:r>
          </w:p>
        </w:tc>
        <w:tc>
          <w:tcPr/>
          <w:p>
            <w:pPr>
              <w:pStyle w:val="Compact"/>
            </w:pPr>
            <w:r>
              <w:t xml:space="preserve">Package URL (PURL) — unique per version</w:t>
            </w:r>
          </w:p>
        </w:tc>
      </w:tr>
      <w:tr>
        <w:tc>
          <w:tcPr/>
          <w:p>
            <w:pPr>
              <w:pStyle w:val="Compact"/>
            </w:pPr>
            <w:r>
              <w:t xml:space="preserve">Dependency relationships</w:t>
            </w:r>
          </w:p>
        </w:tc>
        <w:tc>
          <w:tcPr/>
          <w:p>
            <w:pPr>
              <w:pStyle w:val="Compact"/>
            </w:pPr>
            <w:r>
              <w:rPr>
                <w:rStyle w:val="VerbatimChar"/>
              </w:rPr>
              <w:t xml:space="preserve">dependencies</w:t>
            </w:r>
          </w:p>
        </w:tc>
        <w:tc>
          <w:tcPr/>
          <w:p>
            <w:pPr>
              <w:pStyle w:val="Compact"/>
            </w:pPr>
            <w:r>
              <w:t xml:space="preserve">Full dependency graph</w:t>
            </w:r>
          </w:p>
        </w:tc>
      </w:tr>
      <w:tr>
        <w:tc>
          <w:tcPr/>
          <w:p>
            <w:pPr>
              <w:pStyle w:val="Compact"/>
            </w:pPr>
            <w:r>
              <w:t xml:space="preserve">SBOM author</w:t>
            </w:r>
          </w:p>
        </w:tc>
        <w:tc>
          <w:tcPr/>
          <w:p>
            <w:pPr>
              <w:pStyle w:val="Compact"/>
            </w:pPr>
            <w:r>
              <w:rPr>
                <w:rStyle w:val="VerbatimChar"/>
              </w:rPr>
              <w:t xml:space="preserve">metadata.author</w:t>
            </w:r>
          </w:p>
        </w:tc>
        <w:tc>
          <w:tcPr/>
          <w:p>
            <w:pPr>
              <w:pStyle w:val="Compact"/>
            </w:pPr>
            <w:r>
              <w:t xml:space="preserve">Set from CI environment</w:t>
            </w:r>
          </w:p>
        </w:tc>
      </w:tr>
      <w:tr>
        <w:tc>
          <w:tcPr/>
          <w:p>
            <w:pPr>
              <w:pStyle w:val="Compact"/>
            </w:pPr>
            <w:r>
              <w:t xml:space="preserve">Timestamp</w:t>
            </w:r>
          </w:p>
        </w:tc>
        <w:tc>
          <w:tcPr/>
          <w:p>
            <w:pPr>
              <w:pStyle w:val="Compact"/>
            </w:pPr>
            <w:r>
              <w:rPr>
                <w:rStyle w:val="VerbatimChar"/>
              </w:rPr>
              <w:t xml:space="preserve">metadata.timestamp</w:t>
            </w:r>
          </w:p>
        </w:tc>
        <w:tc>
          <w:tcPr/>
          <w:p>
            <w:pPr>
              <w:pStyle w:val="Compact"/>
            </w:pPr>
            <w:r>
              <w:t xml:space="preserve">UTC build timestamp</w:t>
            </w:r>
          </w:p>
        </w:tc>
      </w:tr>
    </w:tbl>
    <w:p>
      <w:r>
        <w:pict>
          <v:rect style="width:0;height:1.5pt" o:hralign="center" o:hrstd="t" o:hr="t"/>
        </w:pict>
      </w:r>
    </w:p>
    <w:bookmarkEnd w:id="63"/>
    <w:bookmarkEnd w:id="64"/>
    <w:bookmarkEnd w:id="65"/>
    <w:bookmarkStart w:id="68" w:name="vulnerability-disclosure-report-vdr"/>
    <w:p>
      <w:pPr>
        <w:pStyle w:val="Heading1"/>
      </w:pPr>
      <w:r>
        <w:t xml:space="preserve">Vulnerability Disclosure Report (VDR)</w:t>
      </w:r>
    </w:p>
    <w:p>
      <w:pPr>
        <w:pStyle w:val="FirstParagraph"/>
      </w:pPr>
      <w:r>
        <w:t xml:space="preserve">The VDR is a machine-readable enumeration of all CVEs affecting components in</w:t>
      </w:r>
      <w:r>
        <w:t xml:space="preserve"> </w:t>
      </w:r>
      <w:r>
        <w:t xml:space="preserve">the SBOM. Grype (Anchore) takes the CycloneDX SBOM as input and produces a</w:t>
      </w:r>
      <w:r>
        <w:t xml:space="preserve"> </w:t>
      </w:r>
      <w:r>
        <w:t xml:space="preserve">CycloneDX VDR with NVD-sourced CVE data.</w:t>
      </w:r>
    </w:p>
    <w:bookmarkStart w:id="66" w:name="vdr-fields"/>
    <w:p>
      <w:pPr>
        <w:pStyle w:val="Heading2"/>
      </w:pPr>
      <w:r>
        <w:t xml:space="preserve">VDR Fields</w:t>
      </w:r>
    </w:p>
    <w:p>
      <w:pPr>
        <w:pStyle w:val="SourceCode"/>
      </w:pPr>
      <w:r>
        <w:rPr>
          <w:rStyle w:val="CommentTok"/>
        </w:rPr>
        <w:t xml:space="preserve">&lt;!-- Example CycloneDX 1.6 VDR entry --&gt;</w:t>
      </w:r>
      <w:r>
        <w:br/>
      </w:r>
      <w:r>
        <w:rPr>
          <w:rStyle w:val="NormalTok"/>
        </w:rPr>
        <w:t xml:space="preserve">&lt;</w:t>
      </w:r>
      <w:r>
        <w:rPr>
          <w:rStyle w:val="KeywordTok"/>
        </w:rPr>
        <w:t xml:space="preserve">vulnerability</w:t>
      </w:r>
      <w:r>
        <w:rPr>
          <w:rStyle w:val="NormalTok"/>
        </w:rPr>
        <w:t xml:space="preserve">&gt;</w:t>
      </w:r>
      <w:r>
        <w:br/>
      </w:r>
      <w:r>
        <w:rPr>
          <w:rStyle w:val="NormalTok"/>
        </w:rPr>
        <w:t xml:space="preserve">  &lt;</w:t>
      </w:r>
      <w:r>
        <w:rPr>
          <w:rStyle w:val="KeywordTok"/>
        </w:rPr>
        <w:t xml:space="preserve">id</w:t>
      </w:r>
      <w:r>
        <w:rPr>
          <w:rStyle w:val="NormalTok"/>
        </w:rPr>
        <w:t xml:space="preserve">&gt;CVE-2024-12345&lt;/</w:t>
      </w:r>
      <w:r>
        <w:rPr>
          <w:rStyle w:val="KeywordTok"/>
        </w:rPr>
        <w:t xml:space="preserve">id</w:t>
      </w:r>
      <w:r>
        <w:rPr>
          <w:rStyle w:val="NormalTok"/>
        </w:rPr>
        <w:t xml:space="preserve">&gt;</w:t>
      </w:r>
      <w:r>
        <w:br/>
      </w:r>
      <w:r>
        <w:rPr>
          <w:rStyle w:val="NormalTok"/>
        </w:rPr>
        <w:t xml:space="preserve">  &lt;</w:t>
      </w:r>
      <w:r>
        <w:rPr>
          <w:rStyle w:val="KeywordTok"/>
        </w:rPr>
        <w:t xml:space="preserve">source</w:t>
      </w:r>
      <w:r>
        <w:rPr>
          <w:rStyle w:val="NormalTok"/>
        </w:rPr>
        <w:t xml:space="preserve">&gt;</w:t>
      </w:r>
      <w:r>
        <w:br/>
      </w:r>
      <w:r>
        <w:rPr>
          <w:rStyle w:val="NormalTok"/>
        </w:rPr>
        <w:t xml:space="preserve">    &lt;</w:t>
      </w:r>
      <w:r>
        <w:rPr>
          <w:rStyle w:val="KeywordTok"/>
        </w:rPr>
        <w:t xml:space="preserve">name</w:t>
      </w:r>
      <w:r>
        <w:rPr>
          <w:rStyle w:val="NormalTok"/>
        </w:rPr>
        <w:t xml:space="preserve">&gt;NVD&lt;/</w:t>
      </w:r>
      <w:r>
        <w:rPr>
          <w:rStyle w:val="KeywordTok"/>
        </w:rPr>
        <w:t xml:space="preserve">name</w:t>
      </w:r>
      <w:r>
        <w:rPr>
          <w:rStyle w:val="NormalTok"/>
        </w:rPr>
        <w:t xml:space="preserve">&gt;</w:t>
      </w:r>
      <w:r>
        <w:br/>
      </w:r>
      <w:r>
        <w:rPr>
          <w:rStyle w:val="NormalTok"/>
        </w:rPr>
        <w:t xml:space="preserve">    &lt;</w:t>
      </w:r>
      <w:r>
        <w:rPr>
          <w:rStyle w:val="KeywordTok"/>
        </w:rPr>
        <w:t xml:space="preserve">url</w:t>
      </w:r>
      <w:r>
        <w:rPr>
          <w:rStyle w:val="NormalTok"/>
        </w:rPr>
        <w:t xml:space="preserve">&gt;https://nvd.nist.gov/vuln/detail/CVE-2024-12345&lt;/</w:t>
      </w:r>
      <w:r>
        <w:rPr>
          <w:rStyle w:val="KeywordTok"/>
        </w:rPr>
        <w:t xml:space="preserve">url</w:t>
      </w:r>
      <w:r>
        <w:rPr>
          <w:rStyle w:val="NormalTok"/>
        </w:rPr>
        <w:t xml:space="preserve">&gt;</w:t>
      </w:r>
      <w:r>
        <w:br/>
      </w:r>
      <w:r>
        <w:rPr>
          <w:rStyle w:val="NormalTok"/>
        </w:rPr>
        <w:t xml:space="preserve">  &lt;/</w:t>
      </w:r>
      <w:r>
        <w:rPr>
          <w:rStyle w:val="KeywordTok"/>
        </w:rPr>
        <w:t xml:space="preserve">source</w:t>
      </w:r>
      <w:r>
        <w:rPr>
          <w:rStyle w:val="NormalTok"/>
        </w:rPr>
        <w:t xml:space="preserve">&gt;</w:t>
      </w:r>
      <w:r>
        <w:br/>
      </w:r>
      <w:r>
        <w:rPr>
          <w:rStyle w:val="NormalTok"/>
        </w:rPr>
        <w:t xml:space="preserve">  &lt;</w:t>
      </w:r>
      <w:r>
        <w:rPr>
          <w:rStyle w:val="KeywordTok"/>
        </w:rPr>
        <w:t xml:space="preserve">ratings</w:t>
      </w:r>
      <w:r>
        <w:rPr>
          <w:rStyle w:val="NormalTok"/>
        </w:rPr>
        <w:t xml:space="preserve">&gt;</w:t>
      </w:r>
      <w:r>
        <w:br/>
      </w:r>
      <w:r>
        <w:rPr>
          <w:rStyle w:val="NormalTok"/>
        </w:rPr>
        <w:t xml:space="preserve">    &lt;</w:t>
      </w:r>
      <w:r>
        <w:rPr>
          <w:rStyle w:val="KeywordTok"/>
        </w:rPr>
        <w:t xml:space="preserve">rating</w:t>
      </w:r>
      <w:r>
        <w:rPr>
          <w:rStyle w:val="NormalTok"/>
        </w:rPr>
        <w:t xml:space="preserve">&gt;</w:t>
      </w:r>
      <w:r>
        <w:br/>
      </w:r>
      <w:r>
        <w:rPr>
          <w:rStyle w:val="NormalTok"/>
        </w:rPr>
        <w:t xml:space="preserve">      &lt;</w:t>
      </w:r>
      <w:r>
        <w:rPr>
          <w:rStyle w:val="KeywordTok"/>
        </w:rPr>
        <w:t xml:space="preserve">score</w:t>
      </w:r>
      <w:r>
        <w:rPr>
          <w:rStyle w:val="NormalTok"/>
        </w:rPr>
        <w:t xml:space="preserve">&gt;</w:t>
      </w:r>
      <w:r>
        <w:br/>
      </w:r>
      <w:r>
        <w:rPr>
          <w:rStyle w:val="NormalTok"/>
        </w:rPr>
        <w:t xml:space="preserve">        &lt;</w:t>
      </w:r>
      <w:r>
        <w:rPr>
          <w:rStyle w:val="KeywordTok"/>
        </w:rPr>
        <w:t xml:space="preserve">base</w:t>
      </w:r>
      <w:r>
        <w:rPr>
          <w:rStyle w:val="NormalTok"/>
        </w:rPr>
        <w:t xml:space="preserve">&gt;9.8&lt;/</w:t>
      </w:r>
      <w:r>
        <w:rPr>
          <w:rStyle w:val="KeywordTok"/>
        </w:rPr>
        <w:t xml:space="preserve">base</w:t>
      </w:r>
      <w:r>
        <w:rPr>
          <w:rStyle w:val="NormalTok"/>
        </w:rPr>
        <w:t xml:space="preserve">&gt;</w:t>
      </w:r>
      <w:r>
        <w:br/>
      </w:r>
      <w:r>
        <w:rPr>
          <w:rStyle w:val="NormalTok"/>
        </w:rPr>
        <w:t xml:space="preserve">        &lt;</w:t>
      </w:r>
      <w:r>
        <w:rPr>
          <w:rStyle w:val="KeywordTok"/>
        </w:rPr>
        <w:t xml:space="preserve">vector</w:t>
      </w:r>
      <w:r>
        <w:rPr>
          <w:rStyle w:val="NormalTok"/>
        </w:rPr>
        <w:t xml:space="preserve">&gt;CVSS:3.1/AV:N/AC:L/PR:N/UI:N/S:U/C:H/I:H/A:H&lt;/</w:t>
      </w:r>
      <w:r>
        <w:rPr>
          <w:rStyle w:val="KeywordTok"/>
        </w:rPr>
        <w:t xml:space="preserve">vector</w:t>
      </w:r>
      <w:r>
        <w:rPr>
          <w:rStyle w:val="NormalTok"/>
        </w:rPr>
        <w:t xml:space="preserve">&gt;</w:t>
      </w:r>
      <w:r>
        <w:br/>
      </w:r>
      <w:r>
        <w:rPr>
          <w:rStyle w:val="NormalTok"/>
        </w:rPr>
        <w:t xml:space="preserve">      &lt;/</w:t>
      </w:r>
      <w:r>
        <w:rPr>
          <w:rStyle w:val="KeywordTok"/>
        </w:rPr>
        <w:t xml:space="preserve">score</w:t>
      </w:r>
      <w:r>
        <w:rPr>
          <w:rStyle w:val="NormalTok"/>
        </w:rPr>
        <w:t xml:space="preserve">&gt;</w:t>
      </w:r>
      <w:r>
        <w:br/>
      </w:r>
      <w:r>
        <w:rPr>
          <w:rStyle w:val="NormalTok"/>
        </w:rPr>
        <w:t xml:space="preserve">      &lt;</w:t>
      </w:r>
      <w:r>
        <w:rPr>
          <w:rStyle w:val="KeywordTok"/>
        </w:rPr>
        <w:t xml:space="preserve">severity</w:t>
      </w:r>
      <w:r>
        <w:rPr>
          <w:rStyle w:val="NormalTok"/>
        </w:rPr>
        <w:t xml:space="preserve">&gt;critical&lt;/</w:t>
      </w:r>
      <w:r>
        <w:rPr>
          <w:rStyle w:val="KeywordTok"/>
        </w:rPr>
        <w:t xml:space="preserve">severity</w:t>
      </w:r>
      <w:r>
        <w:rPr>
          <w:rStyle w:val="NormalTok"/>
        </w:rPr>
        <w:t xml:space="preserve">&gt;</w:t>
      </w:r>
      <w:r>
        <w:br/>
      </w:r>
      <w:r>
        <w:rPr>
          <w:rStyle w:val="NormalTok"/>
        </w:rPr>
        <w:t xml:space="preserve">      &lt;</w:t>
      </w:r>
      <w:r>
        <w:rPr>
          <w:rStyle w:val="KeywordTok"/>
        </w:rPr>
        <w:t xml:space="preserve">method</w:t>
      </w:r>
      <w:r>
        <w:rPr>
          <w:rStyle w:val="NormalTok"/>
        </w:rPr>
        <w:t xml:space="preserve">&gt;CVSSv31&lt;/</w:t>
      </w:r>
      <w:r>
        <w:rPr>
          <w:rStyle w:val="KeywordTok"/>
        </w:rPr>
        <w:t xml:space="preserve">method</w:t>
      </w:r>
      <w:r>
        <w:rPr>
          <w:rStyle w:val="NormalTok"/>
        </w:rPr>
        <w:t xml:space="preserve">&gt;</w:t>
      </w:r>
      <w:r>
        <w:br/>
      </w:r>
      <w:r>
        <w:rPr>
          <w:rStyle w:val="NormalTok"/>
        </w:rPr>
        <w:t xml:space="preserve">    &lt;/</w:t>
      </w:r>
      <w:r>
        <w:rPr>
          <w:rStyle w:val="KeywordTok"/>
        </w:rPr>
        <w:t xml:space="preserve">rating</w:t>
      </w:r>
      <w:r>
        <w:rPr>
          <w:rStyle w:val="NormalTok"/>
        </w:rPr>
        <w:t xml:space="preserve">&gt;</w:t>
      </w:r>
      <w:r>
        <w:br/>
      </w:r>
      <w:r>
        <w:rPr>
          <w:rStyle w:val="NormalTok"/>
        </w:rPr>
        <w:t xml:space="preserve">  &lt;/</w:t>
      </w:r>
      <w:r>
        <w:rPr>
          <w:rStyle w:val="KeywordTok"/>
        </w:rPr>
        <w:t xml:space="preserve">ratings</w:t>
      </w:r>
      <w:r>
        <w:rPr>
          <w:rStyle w:val="NormalTok"/>
        </w:rPr>
        <w:t xml:space="preserve">&gt;</w:t>
      </w:r>
      <w:r>
        <w:br/>
      </w:r>
      <w:r>
        <w:rPr>
          <w:rStyle w:val="NormalTok"/>
        </w:rPr>
        <w:t xml:space="preserve">  &lt;</w:t>
      </w:r>
      <w:r>
        <w:rPr>
          <w:rStyle w:val="KeywordTok"/>
        </w:rPr>
        <w:t xml:space="preserve">affects</w:t>
      </w:r>
      <w:r>
        <w:rPr>
          <w:rStyle w:val="NormalTok"/>
        </w:rPr>
        <w:t xml:space="preserve">&gt;</w:t>
      </w:r>
      <w:r>
        <w:br/>
      </w:r>
      <w:r>
        <w:rPr>
          <w:rStyle w:val="NormalTok"/>
        </w:rPr>
        <w:t xml:space="preserve">    &lt;</w:t>
      </w:r>
      <w:r>
        <w:rPr>
          <w:rStyle w:val="KeywordTok"/>
        </w:rPr>
        <w:t xml:space="preserve">target</w:t>
      </w:r>
      <w:r>
        <w:rPr>
          <w:rStyle w:val="NormalTok"/>
        </w:rPr>
        <w:t xml:space="preserve">&gt;</w:t>
      </w:r>
      <w:r>
        <w:br/>
      </w:r>
      <w:r>
        <w:rPr>
          <w:rStyle w:val="NormalTok"/>
        </w:rPr>
        <w:t xml:space="preserve">      &lt;</w:t>
      </w:r>
      <w:r>
        <w:rPr>
          <w:rStyle w:val="KeywordTok"/>
        </w:rPr>
        <w:t xml:space="preserve">ref</w:t>
      </w:r>
      <w:r>
        <w:rPr>
          <w:rStyle w:val="NormalTok"/>
        </w:rPr>
        <w:t xml:space="preserve">&gt;urn:cdx:package-purl/pkg:pypi/requests@2.28.0&lt;/</w:t>
      </w:r>
      <w:r>
        <w:rPr>
          <w:rStyle w:val="KeywordTok"/>
        </w:rPr>
        <w:t xml:space="preserve">ref</w:t>
      </w:r>
      <w:r>
        <w:rPr>
          <w:rStyle w:val="NormalTok"/>
        </w:rPr>
        <w:t xml:space="preserve">&gt;</w:t>
      </w:r>
      <w:r>
        <w:br/>
      </w:r>
      <w:r>
        <w:rPr>
          <w:rStyle w:val="NormalTok"/>
        </w:rPr>
        <w:t xml:space="preserve">    &lt;/</w:t>
      </w:r>
      <w:r>
        <w:rPr>
          <w:rStyle w:val="KeywordTok"/>
        </w:rPr>
        <w:t xml:space="preserve">target</w:t>
      </w:r>
      <w:r>
        <w:rPr>
          <w:rStyle w:val="NormalTok"/>
        </w:rPr>
        <w:t xml:space="preserve">&gt;</w:t>
      </w:r>
      <w:r>
        <w:br/>
      </w:r>
      <w:r>
        <w:rPr>
          <w:rStyle w:val="NormalTok"/>
        </w:rPr>
        <w:t xml:space="preserve">  &lt;/</w:t>
      </w:r>
      <w:r>
        <w:rPr>
          <w:rStyle w:val="KeywordTok"/>
        </w:rPr>
        <w:t xml:space="preserve">affects</w:t>
      </w:r>
      <w:r>
        <w:rPr>
          <w:rStyle w:val="NormalTok"/>
        </w:rPr>
        <w:t xml:space="preserve">&gt;</w:t>
      </w:r>
      <w:r>
        <w:br/>
      </w:r>
      <w:r>
        <w:rPr>
          <w:rStyle w:val="NormalTok"/>
        </w:rPr>
        <w:t xml:space="preserve">  &lt;</w:t>
      </w:r>
      <w:r>
        <w:rPr>
          <w:rStyle w:val="KeywordTok"/>
        </w:rPr>
        <w:t xml:space="preserve">analysis</w:t>
      </w:r>
      <w:r>
        <w:rPr>
          <w:rStyle w:val="NormalTok"/>
        </w:rPr>
        <w:t xml:space="preserve">&gt;</w:t>
      </w:r>
      <w:r>
        <w:br/>
      </w:r>
      <w:r>
        <w:rPr>
          <w:rStyle w:val="NormalTok"/>
        </w:rPr>
        <w:t xml:space="preserve">    &lt;</w:t>
      </w:r>
      <w:r>
        <w:rPr>
          <w:rStyle w:val="KeywordTok"/>
        </w:rPr>
        <w:t xml:space="preserve">state</w:t>
      </w:r>
      <w:r>
        <w:rPr>
          <w:rStyle w:val="NormalTok"/>
        </w:rPr>
        <w:t xml:space="preserve">&gt;exploitable&lt;/</w:t>
      </w:r>
      <w:r>
        <w:rPr>
          <w:rStyle w:val="KeywordTok"/>
        </w:rPr>
        <w:t xml:space="preserve">state</w:t>
      </w:r>
      <w:r>
        <w:rPr>
          <w:rStyle w:val="NormalTok"/>
        </w:rPr>
        <w:t xml:space="preserve">&gt;</w:t>
      </w:r>
      <w:r>
        <w:br/>
      </w:r>
      <w:r>
        <w:rPr>
          <w:rStyle w:val="NormalTok"/>
        </w:rPr>
        <w:t xml:space="preserve">    &lt;</w:t>
      </w:r>
      <w:r>
        <w:rPr>
          <w:rStyle w:val="KeywordTok"/>
        </w:rPr>
        <w:t xml:space="preserve">detail</w:t>
      </w:r>
      <w:r>
        <w:rPr>
          <w:rStyle w:val="NormalTok"/>
        </w:rPr>
        <w:t xml:space="preserve">&gt;Network-accessible API endpoint uses this version&lt;/</w:t>
      </w:r>
      <w:r>
        <w:rPr>
          <w:rStyle w:val="KeywordTok"/>
        </w:rPr>
        <w:t xml:space="preserve">detail</w:t>
      </w:r>
      <w:r>
        <w:rPr>
          <w:rStyle w:val="NormalTok"/>
        </w:rPr>
        <w:t xml:space="preserve">&gt;</w:t>
      </w:r>
      <w:r>
        <w:br/>
      </w:r>
      <w:r>
        <w:rPr>
          <w:rStyle w:val="NormalTok"/>
        </w:rPr>
        <w:t xml:space="preserve">    &lt;</w:t>
      </w:r>
      <w:r>
        <w:rPr>
          <w:rStyle w:val="KeywordTok"/>
        </w:rPr>
        <w:t xml:space="preserve">response</w:t>
      </w:r>
      <w:r>
        <w:rPr>
          <w:rStyle w:val="NormalTok"/>
        </w:rPr>
        <w:t xml:space="preserve">&gt;patch_available&lt;/</w:t>
      </w:r>
      <w:r>
        <w:rPr>
          <w:rStyle w:val="KeywordTok"/>
        </w:rPr>
        <w:t xml:space="preserve">response</w:t>
      </w:r>
      <w:r>
        <w:rPr>
          <w:rStyle w:val="NormalTok"/>
        </w:rPr>
        <w:t xml:space="preserve">&gt;</w:t>
      </w:r>
      <w:r>
        <w:br/>
      </w:r>
      <w:r>
        <w:rPr>
          <w:rStyle w:val="NormalTok"/>
        </w:rPr>
        <w:t xml:space="preserve">  &lt;/</w:t>
      </w:r>
      <w:r>
        <w:rPr>
          <w:rStyle w:val="KeywordTok"/>
        </w:rPr>
        <w:t xml:space="preserve">analysis</w:t>
      </w:r>
      <w:r>
        <w:rPr>
          <w:rStyle w:val="NormalTok"/>
        </w:rPr>
        <w:t xml:space="preserve">&gt;</w:t>
      </w:r>
      <w:r>
        <w:br/>
      </w:r>
      <w:r>
        <w:rPr>
          <w:rStyle w:val="NormalTok"/>
        </w:rPr>
        <w:t xml:space="preserve">&lt;/</w:t>
      </w:r>
      <w:r>
        <w:rPr>
          <w:rStyle w:val="KeywordTok"/>
        </w:rPr>
        <w:t xml:space="preserve">vulnerability</w:t>
      </w:r>
      <w:r>
        <w:rPr>
          <w:rStyle w:val="NormalTok"/>
        </w:rPr>
        <w:t xml:space="preserve">&gt;</w:t>
      </w:r>
    </w:p>
    <w:bookmarkEnd w:id="66"/>
    <w:bookmarkStart w:id="67" w:name="cisa-kev-integration"/>
    <w:p>
      <w:pPr>
        <w:pStyle w:val="Heading2"/>
      </w:pPr>
      <w:r>
        <w:t xml:space="preserve">CISA KEV Integration</w:t>
      </w:r>
    </w:p>
    <w:p>
      <w:pPr>
        <w:pStyle w:val="FirstParagraph"/>
      </w:pPr>
      <w:r>
        <w:t xml:space="preserve">The VDR pipeline integrates with the CISA Known Exploited Vulnerabilities (KEV)</w:t>
      </w:r>
      <w:r>
        <w:t xml:space="preserve"> </w:t>
      </w:r>
      <w:r>
        <w:t xml:space="preserve">catalog. Any CVE in the SBOM that appears in the KEV catalog is automatically</w:t>
      </w:r>
      <w:r>
        <w:t xml:space="preserve"> </w:t>
      </w:r>
      <w:r>
        <w:t xml:space="preserve">escalated to P0. CISA’s KEV catalog assigns each entry its own remediation due</w:t>
      </w:r>
      <w:r>
        <w:t xml:space="preserve"> </w:t>
      </w:r>
      <w:r>
        <w:t xml:space="preserve">date (the roughly two-week window applies to recently added CVEs; older</w:t>
      </w:r>
      <w:r>
        <w:t xml:space="preserve"> </w:t>
      </w:r>
      <w:r>
        <w:t xml:space="preserve">entries carry longer deadlines), and the clock runs from the date CISA adds</w:t>
      </w:r>
      <w:r>
        <w:t xml:space="preserve"> </w:t>
      </w:r>
      <w:r>
        <w:t xml:space="preserve">the CVE to the catalog, not from disclosure. The pipeline drives the SLA off</w:t>
      </w:r>
      <w:r>
        <w:t xml:space="preserve"> </w:t>
      </w:r>
      <w:r>
        <w:t xml:space="preserve">each entry’s</w:t>
      </w:r>
      <w:r>
        <w:t xml:space="preserve"> </w:t>
      </w:r>
      <w:r>
        <w:rPr>
          <w:rStyle w:val="VerbatimChar"/>
        </w:rPr>
        <w:t xml:space="preserve">dueDate</w:t>
      </w:r>
      <w:r>
        <w:t xml:space="preserve">.</w:t>
      </w:r>
    </w:p>
    <w:p>
      <w:pPr>
        <w:pStyle w:val="SourceCode"/>
      </w:pPr>
      <w:r>
        <w:rPr>
          <w:rStyle w:val="CommentTok"/>
        </w:rPr>
        <w:t xml:space="preserve"># scripts/kev_triage.py — CI step after VDR generation</w:t>
      </w:r>
      <w:r>
        <w:br/>
      </w:r>
      <w:r>
        <w:rPr>
          <w:rStyle w:val="ImportTok"/>
        </w:rPr>
        <w:t xml:space="preserve">import</w:t>
      </w:r>
      <w:r>
        <w:rPr>
          <w:rStyle w:val="NormalTok"/>
        </w:rPr>
        <w:t xml:space="preserve"> json, requests</w:t>
      </w:r>
      <w:r>
        <w:br/>
      </w:r>
      <w:r>
        <w:br/>
      </w:r>
      <w:r>
        <w:rPr>
          <w:rStyle w:val="NormalTok"/>
        </w:rPr>
        <w:t xml:space="preserve">KEV_URL </w:t>
      </w:r>
      <w:r>
        <w:rPr>
          <w:rStyle w:val="OperatorTok"/>
        </w:rPr>
        <w:t xml:space="preserve">=</w:t>
      </w:r>
      <w:r>
        <w:rPr>
          <w:rStyle w:val="NormalTok"/>
        </w:rPr>
        <w:t xml:space="preserve"> </w:t>
      </w:r>
      <w:r>
        <w:rPr>
          <w:rStyle w:val="StringTok"/>
        </w:rPr>
        <w:t xml:space="preserve">"https://www.cisa.gov/sites/default/files/feeds/known_exploited_vulnerabilities.json"</w:t>
      </w:r>
      <w:r>
        <w:br/>
      </w:r>
      <w:r>
        <w:br/>
      </w:r>
      <w:r>
        <w:rPr>
          <w:rStyle w:val="KeywordTok"/>
        </w:rPr>
        <w:t xml:space="preserve">def</w:t>
      </w:r>
      <w:r>
        <w:rPr>
          <w:rStyle w:val="NormalTok"/>
        </w:rPr>
        <w:t xml:space="preserve"> triage_against_kev(vdr_path: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w:t>
      </w:r>
      <w:r>
        <w:rPr>
          <w:rStyle w:val="CommentTok"/>
        </w:rPr>
        <w:t xml:space="preserve"># Each KEV entry carries its own dueDate; the KEV catalog sets a per-entry</w:t>
      </w:r>
      <w:r>
        <w:br/>
      </w:r>
      <w:r>
        <w:rPr>
          <w:rStyle w:val="NormalTok"/>
        </w:rPr>
        <w:t xml:space="preserve">    </w:t>
      </w:r>
      <w:r>
        <w:rPr>
          <w:rStyle w:val="CommentTok"/>
        </w:rPr>
        <w:t xml:space="preserve"># remediation deadline measured from KEV catalog addition, not a flat window.</w:t>
      </w:r>
      <w:r>
        <w:br/>
      </w:r>
      <w:r>
        <w:rPr>
          <w:rStyle w:val="NormalTok"/>
        </w:rPr>
        <w:t xml:space="preserve">    kev </w:t>
      </w:r>
      <w:r>
        <w:rPr>
          <w:rStyle w:val="OperatorTok"/>
        </w:rPr>
        <w:t xml:space="preserve">=</w:t>
      </w:r>
      <w:r>
        <w:rPr>
          <w:rStyle w:val="NormalTok"/>
        </w:rPr>
        <w:t xml:space="preserve"> {e[</w:t>
      </w:r>
      <w:r>
        <w:rPr>
          <w:rStyle w:val="StringTok"/>
        </w:rPr>
        <w:t xml:space="preserve">"cveID"</w:t>
      </w:r>
      <w:r>
        <w:rPr>
          <w:rStyle w:val="NormalTok"/>
        </w:rPr>
        <w:t xml:space="preserve">]: e </w:t>
      </w:r>
      <w:r>
        <w:rPr>
          <w:rStyle w:val="ControlFlowTok"/>
        </w:rPr>
        <w:t xml:space="preserve">for</w:t>
      </w:r>
      <w:r>
        <w:rPr>
          <w:rStyle w:val="NormalTok"/>
        </w:rPr>
        <w:t xml:space="preserve"> e </w:t>
      </w:r>
      <w:r>
        <w:rPr>
          <w:rStyle w:val="KeywordTok"/>
        </w:rPr>
        <w:t xml:space="preserve">in</w:t>
      </w:r>
      <w:r>
        <w:rPr>
          <w:rStyle w:val="NormalTok"/>
        </w:rPr>
        <w:t xml:space="preserve"> requests.get(KEV_URL).json[</w:t>
      </w:r>
      <w:r>
        <w:rPr>
          <w:rStyle w:val="StringTok"/>
        </w:rPr>
        <w:t xml:space="preserve">"vulnerabilities"</w:t>
      </w:r>
      <w:r>
        <w:rPr>
          <w:rStyle w:val="NormalTok"/>
        </w:rPr>
        <w:t xml:space="preserve">]}</w:t>
      </w:r>
      <w:r>
        <w:br/>
      </w:r>
      <w:r>
        <w:rPr>
          <w:rStyle w:val="NormalTok"/>
        </w:rPr>
        <w:t xml:space="preserve">    vdr </w:t>
      </w:r>
      <w:r>
        <w:rPr>
          <w:rStyle w:val="OperatorTok"/>
        </w:rPr>
        <w:t xml:space="preserve">=</w:t>
      </w:r>
      <w:r>
        <w:rPr>
          <w:rStyle w:val="NormalTok"/>
        </w:rPr>
        <w:t xml:space="preserve"> json.loads(</w:t>
      </w:r>
      <w:r>
        <w:rPr>
          <w:rStyle w:val="BuiltInTok"/>
        </w:rPr>
        <w:t xml:space="preserve">open</w:t>
      </w:r>
      <w:r>
        <w:rPr>
          <w:rStyle w:val="NormalTok"/>
        </w:rPr>
        <w:t xml:space="preserve">(vdr_path).read)</w:t>
      </w:r>
      <w:r>
        <w:br/>
      </w:r>
      <w:r>
        <w:rPr>
          <w:rStyle w:val="NormalTok"/>
        </w:rPr>
        <w:t xml:space="preserve">    escalations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vuln </w:t>
      </w:r>
      <w:r>
        <w:rPr>
          <w:rStyle w:val="KeywordTok"/>
        </w:rPr>
        <w:t xml:space="preserve">in</w:t>
      </w:r>
      <w:r>
        <w:rPr>
          <w:rStyle w:val="NormalTok"/>
        </w:rPr>
        <w:t xml:space="preserve"> vdr.get(</w:t>
      </w:r>
      <w:r>
        <w:rPr>
          <w:rStyle w:val="StringTok"/>
        </w:rPr>
        <w:t xml:space="preserve">"vulnerabilities"</w:t>
      </w:r>
      <w:r>
        <w:rPr>
          <w:rStyle w:val="NormalTok"/>
        </w:rPr>
        <w:t xml:space="preserve">, []):</w:t>
      </w:r>
      <w:r>
        <w:br/>
      </w:r>
      <w:r>
        <w:rPr>
          <w:rStyle w:val="NormalTok"/>
        </w:rPr>
        <w:t xml:space="preserve">        cve_id </w:t>
      </w:r>
      <w:r>
        <w:rPr>
          <w:rStyle w:val="OperatorTok"/>
        </w:rPr>
        <w:t xml:space="preserve">=</w:t>
      </w:r>
      <w:r>
        <w:rPr>
          <w:rStyle w:val="NormalTok"/>
        </w:rPr>
        <w:t xml:space="preserve"> vuln.get(</w:t>
      </w:r>
      <w:r>
        <w:rPr>
          <w:rStyle w:val="StringTok"/>
        </w:rPr>
        <w:t xml:space="preserve">"id"</w:t>
      </w:r>
      <w:r>
        <w:rPr>
          <w:rStyle w:val="NormalTok"/>
        </w:rPr>
        <w:t xml:space="preserve">, </w:t>
      </w:r>
      <w:r>
        <w:rPr>
          <w:rStyle w:val="StringTok"/>
        </w:rPr>
        <w:t xml:space="preserve">""</w:t>
      </w:r>
      <w:r>
        <w:rPr>
          <w:rStyle w:val="NormalTok"/>
        </w:rPr>
        <w:t xml:space="preserve">)</w:t>
      </w:r>
      <w:r>
        <w:br/>
      </w:r>
      <w:r>
        <w:rPr>
          <w:rStyle w:val="NormalTok"/>
        </w:rPr>
        <w:t xml:space="preserve">        entry </w:t>
      </w:r>
      <w:r>
        <w:rPr>
          <w:rStyle w:val="OperatorTok"/>
        </w:rPr>
        <w:t xml:space="preserve">=</w:t>
      </w:r>
      <w:r>
        <w:rPr>
          <w:rStyle w:val="NormalTok"/>
        </w:rPr>
        <w:t xml:space="preserve"> kev.get(cve_id)</w:t>
      </w:r>
      <w:r>
        <w:br/>
      </w:r>
      <w:r>
        <w:rPr>
          <w:rStyle w:val="NormalTok"/>
        </w:rPr>
        <w:t xml:space="preserve">        </w:t>
      </w:r>
      <w:r>
        <w:rPr>
          <w:rStyle w:val="ControlFlowTok"/>
        </w:rPr>
        <w:t xml:space="preserve">if</w:t>
      </w:r>
      <w:r>
        <w:rPr>
          <w:rStyle w:val="NormalTok"/>
        </w:rPr>
        <w:t xml:space="preserve"> entry:</w:t>
      </w:r>
      <w:r>
        <w:br/>
      </w:r>
      <w:r>
        <w:rPr>
          <w:rStyle w:val="NormalTok"/>
        </w:rPr>
        <w:t xml:space="preserve">            escalations.append({</w:t>
      </w:r>
      <w:r>
        <w:br/>
      </w:r>
      <w:r>
        <w:rPr>
          <w:rStyle w:val="NormalTok"/>
        </w:rPr>
        <w:t xml:space="preserve">                </w:t>
      </w:r>
      <w:r>
        <w:rPr>
          <w:rStyle w:val="StringTok"/>
        </w:rPr>
        <w:t xml:space="preserve">"cve"</w:t>
      </w:r>
      <w:r>
        <w:rPr>
          <w:rStyle w:val="NormalTok"/>
        </w:rPr>
        <w:t xml:space="preserve">: cve_id,</w:t>
      </w:r>
      <w:r>
        <w:br/>
      </w:r>
      <w:r>
        <w:rPr>
          <w:rStyle w:val="NormalTok"/>
        </w:rPr>
        <w:t xml:space="preserve">                </w:t>
      </w:r>
      <w:r>
        <w:rPr>
          <w:rStyle w:val="StringTok"/>
        </w:rPr>
        <w:t xml:space="preserve">"severity"</w:t>
      </w:r>
      <w:r>
        <w:rPr>
          <w:rStyle w:val="NormalTok"/>
        </w:rPr>
        <w:t xml:space="preserve">: vuln.get(</w:t>
      </w:r>
      <w:r>
        <w:rPr>
          <w:rStyle w:val="StringTok"/>
        </w:rPr>
        <w:t xml:space="preserve">"ratings"</w:t>
      </w:r>
      <w:r>
        <w:rPr>
          <w:rStyle w:val="NormalTok"/>
        </w:rPr>
        <w:t xml:space="preserve">, [{}])[</w:t>
      </w:r>
      <w:r>
        <w:rPr>
          <w:rStyle w:val="DecValTok"/>
        </w:rPr>
        <w:t xml:space="preserve">0</w:t>
      </w:r>
      <w:r>
        <w:rPr>
          <w:rStyle w:val="NormalTok"/>
        </w:rPr>
        <w:t xml:space="preserve">].get(</w:t>
      </w:r>
      <w:r>
        <w:rPr>
          <w:rStyle w:val="StringTok"/>
        </w:rPr>
        <w:t xml:space="preserve">"severity"</w:t>
      </w:r>
      <w:r>
        <w:rPr>
          <w:rStyle w:val="NormalTok"/>
        </w:rPr>
        <w:t xml:space="preserve">, </w:t>
      </w:r>
      <w:r>
        <w:rPr>
          <w:rStyle w:val="StringTok"/>
        </w:rPr>
        <w:t xml:space="preserve">"unknown"</w:t>
      </w:r>
      <w:r>
        <w:rPr>
          <w:rStyle w:val="NormalTok"/>
        </w:rPr>
        <w:t xml:space="preserve">),</w:t>
      </w:r>
      <w:r>
        <w:br/>
      </w:r>
      <w:r>
        <w:rPr>
          <w:rStyle w:val="NormalTok"/>
        </w:rPr>
        <w:t xml:space="preserve">                </w:t>
      </w:r>
      <w:r>
        <w:rPr>
          <w:rStyle w:val="StringTok"/>
        </w:rPr>
        <w:t xml:space="preserve">"kev_escalated"</w:t>
      </w:r>
      <w:r>
        <w:rPr>
          <w:rStyle w:val="NormalTok"/>
        </w:rPr>
        <w:t xml:space="preserve">: </w:t>
      </w:r>
      <w:r>
        <w:rPr>
          <w:rStyle w:val="VariableTok"/>
        </w:rPr>
        <w:t xml:space="preserve">True</w:t>
      </w:r>
      <w:r>
        <w:rPr>
          <w:rStyle w:val="NormalTok"/>
        </w:rPr>
        <w:t xml:space="preserve">,</w:t>
      </w:r>
      <w:r>
        <w:br/>
      </w:r>
      <w:r>
        <w:rPr>
          <w:rStyle w:val="NormalTok"/>
        </w:rPr>
        <w:t xml:space="preserve">                </w:t>
      </w:r>
      <w:r>
        <w:rPr>
          <w:rStyle w:val="StringTok"/>
        </w:rPr>
        <w:t xml:space="preserve">"kev_date_added"</w:t>
      </w:r>
      <w:r>
        <w:rPr>
          <w:rStyle w:val="NormalTok"/>
        </w:rPr>
        <w:t xml:space="preserve">: entry.get(</w:t>
      </w:r>
      <w:r>
        <w:rPr>
          <w:rStyle w:val="StringTok"/>
        </w:rPr>
        <w:t xml:space="preserve">"dateAdded"</w:t>
      </w:r>
      <w:r>
        <w:rPr>
          <w:rStyle w:val="NormalTok"/>
        </w:rPr>
        <w:t xml:space="preserve">),</w:t>
      </w:r>
      <w:r>
        <w:br/>
      </w:r>
      <w:r>
        <w:rPr>
          <w:rStyle w:val="NormalTok"/>
        </w:rPr>
        <w:t xml:space="preserve">                </w:t>
      </w:r>
      <w:r>
        <w:rPr>
          <w:rStyle w:val="StringTok"/>
        </w:rPr>
        <w:t xml:space="preserve">"kev_due_date"</w:t>
      </w:r>
      <w:r>
        <w:rPr>
          <w:rStyle w:val="NormalTok"/>
        </w:rPr>
        <w:t xml:space="preserve">: entry.get(</w:t>
      </w:r>
      <w:r>
        <w:rPr>
          <w:rStyle w:val="StringTok"/>
        </w:rPr>
        <w:t xml:space="preserve">"dueDate"</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escalations</w:t>
      </w:r>
    </w:p>
    <w:p>
      <w:r>
        <w:pict>
          <v:rect style="width:0;height:1.5pt" o:hralign="center" o:hrstd="t" o:hr="t"/>
        </w:pict>
      </w:r>
    </w:p>
    <w:bookmarkEnd w:id="67"/>
    <w:bookmarkEnd w:id="68"/>
    <w:bookmarkStart w:id="72" w:name="X1f0fa402021e89c3afcfce49364de01d7389407"/>
    <w:p>
      <w:pPr>
        <w:pStyle w:val="Heading1"/>
      </w:pPr>
      <w:r>
        <w:t xml:space="preserve">Vulnerability Exploitability eXchange (VEX)</w:t>
      </w:r>
    </w:p>
    <w:p>
      <w:pPr>
        <w:pStyle w:val="FirstParagraph"/>
      </w:pPr>
      <w:r>
        <w:t xml:space="preserve">VEX is the assertion layer — for every CVE in the VDR, the agency asserts</w:t>
      </w:r>
      <w:r>
        <w:t xml:space="preserve"> </w:t>
      </w:r>
      <w:r>
        <w:t xml:space="preserve">whether it is exploitable in the specific deployment context.</w:t>
      </w:r>
    </w:p>
    <w:bookmarkStart w:id="69" w:name="vex-status-values"/>
    <w:p>
      <w:pPr>
        <w:pStyle w:val="Heading2"/>
      </w:pPr>
      <w:r>
        <w:t xml:space="preserve">VEX Status Values</w:t>
      </w:r>
    </w:p>
    <w:p>
      <w:pPr>
        <w:pStyle w:val="TableCaption"/>
      </w:pPr>
      <w:r>
        <w:t xml:space="preserve">VEX Status Values</w:t>
      </w:r>
    </w:p>
    <w:tbl>
      <w:tblPr>
        <w:tblStyle w:val="Table"/>
        <w:tblW w:type="pct" w:w="5000"/>
        <w:tblLayout w:type="fixed"/>
        <w:tblLook w:firstRow="1" w:lastRow="0" w:firstColumn="0" w:lastColumn="0" w:noHBand="0" w:noVBand="0" w:val="0020"/>
        <w:tblCaption w:val="VEX Status Values"/>
      </w:tblPr>
      <w:tblGrid>
        <w:gridCol w:w="2436"/>
        <w:gridCol w:w="2741"/>
        <w:gridCol w:w="2741"/>
      </w:tblGrid>
      <w:tr>
        <w:trPr>
          <w:tblHeader w:val="on"/>
        </w:trPr>
        <w:tc>
          <w:tcPr/>
          <w:p>
            <w:pPr>
              <w:pStyle w:val="Compact"/>
            </w:pPr>
            <w:r>
              <w:t xml:space="preserve">Status</w:t>
            </w:r>
          </w:p>
        </w:tc>
        <w:tc>
          <w:tcPr/>
          <w:p>
            <w:pPr>
              <w:pStyle w:val="Compact"/>
            </w:pPr>
            <w:r>
              <w:t xml:space="preserve">Meaning</w:t>
            </w:r>
          </w:p>
        </w:tc>
        <w:tc>
          <w:tcPr/>
          <w:p>
            <w:pPr>
              <w:pStyle w:val="Compact"/>
            </w:pPr>
            <w:r>
              <w:t xml:space="preserve">Example</w:t>
            </w:r>
          </w:p>
        </w:tc>
      </w:tr>
      <w:tr>
        <w:tc>
          <w:tcPr/>
          <w:p>
            <w:pPr>
              <w:pStyle w:val="Compact"/>
            </w:pPr>
            <w:r>
              <w:rPr>
                <w:rStyle w:val="VerbatimChar"/>
              </w:rPr>
              <w:t xml:space="preserve">not_affected</w:t>
            </w:r>
          </w:p>
        </w:tc>
        <w:tc>
          <w:tcPr/>
          <w:p>
            <w:pPr>
              <w:pStyle w:val="Compact"/>
            </w:pPr>
            <w:r>
              <w:t xml:space="preserve">Vulnerability exists in component but cannot be exploited</w:t>
            </w:r>
          </w:p>
        </w:tc>
        <w:tc>
          <w:tcPr/>
          <w:p>
            <w:pPr>
              <w:pStyle w:val="Compact"/>
            </w:pPr>
            <w:r>
              <w:t xml:space="preserve">Library function not called; OS feature not enabled</w:t>
            </w:r>
          </w:p>
        </w:tc>
      </w:tr>
      <w:tr>
        <w:tc>
          <w:tcPr/>
          <w:p>
            <w:pPr>
              <w:pStyle w:val="Compact"/>
            </w:pPr>
            <w:r>
              <w:rPr>
                <w:rStyle w:val="VerbatimChar"/>
              </w:rPr>
              <w:t xml:space="preserve">affected</w:t>
            </w:r>
          </w:p>
        </w:tc>
        <w:tc>
          <w:tcPr/>
          <w:p>
            <w:pPr>
              <w:pStyle w:val="Compact"/>
            </w:pPr>
            <w:r>
              <w:t xml:space="preserve">Vulnerability is exploitable — remediation underway</w:t>
            </w:r>
          </w:p>
        </w:tc>
        <w:tc>
          <w:tcPr/>
          <w:p>
            <w:pPr>
              <w:pStyle w:val="Compact"/>
            </w:pPr>
            <w:r>
              <w:t xml:space="preserve">Production system uses the affected code path</w:t>
            </w:r>
          </w:p>
        </w:tc>
      </w:tr>
      <w:tr>
        <w:tc>
          <w:tcPr/>
          <w:p>
            <w:pPr>
              <w:pStyle w:val="Compact"/>
            </w:pPr>
            <w:r>
              <w:rPr>
                <w:rStyle w:val="VerbatimChar"/>
              </w:rPr>
              <w:t xml:space="preserve">fixed</w:t>
            </w:r>
          </w:p>
        </w:tc>
        <w:tc>
          <w:tcPr/>
          <w:p>
            <w:pPr>
              <w:pStyle w:val="Compact"/>
            </w:pPr>
            <w:r>
              <w:t xml:space="preserve">Component has been patched to a non-vulnerable version</w:t>
            </w:r>
          </w:p>
        </w:tc>
        <w:tc>
          <w:tcPr/>
          <w:p>
            <w:pPr>
              <w:pStyle w:val="Compact"/>
            </w:pPr>
            <w:r>
              <w:t xml:space="preserve">CVE remediated in current deployment</w:t>
            </w:r>
          </w:p>
        </w:tc>
      </w:tr>
      <w:tr>
        <w:tc>
          <w:tcPr/>
          <w:p>
            <w:pPr>
              <w:pStyle w:val="Compact"/>
            </w:pPr>
            <w:r>
              <w:rPr>
                <w:rStyle w:val="VerbatimChar"/>
              </w:rPr>
              <w:t xml:space="preserve">under_investigation</w:t>
            </w:r>
          </w:p>
        </w:tc>
        <w:tc>
          <w:tcPr/>
          <w:p>
            <w:pPr>
              <w:pStyle w:val="Compact"/>
            </w:pPr>
            <w:r>
              <w:t xml:space="preserve">Exploitability being analyzed</w:t>
            </w:r>
          </w:p>
        </w:tc>
        <w:tc>
          <w:tcPr/>
          <w:p>
            <w:pPr>
              <w:pStyle w:val="Compact"/>
            </w:pPr>
            <w:r>
              <w:t xml:space="preserve">New CVE, analysis in progress (30-day internal triage SLA)</w:t>
            </w:r>
          </w:p>
        </w:tc>
      </w:tr>
    </w:tbl>
    <w:bookmarkEnd w:id="69"/>
    <w:bookmarkStart w:id="70" w:name="vex-document-structure-openvex"/>
    <w:p>
      <w:pPr>
        <w:pStyle w:val="Heading2"/>
      </w:pPr>
      <w:r>
        <w:t xml:space="preserve">VEX Document Structure (OpenVEX)</w:t>
      </w:r>
    </w:p>
    <w:p>
      <w:pPr>
        <w:pStyle w:val="SourceCode"/>
      </w:pPr>
      <w:r>
        <w:rPr>
          <w:rStyle w:val="FunctionTok"/>
        </w:rPr>
        <w:t xml:space="preserve">{</w:t>
      </w:r>
      <w:r>
        <w:br/>
      </w:r>
      <w:r>
        <w:rPr>
          <w:rStyle w:val="NormalTok"/>
        </w:rPr>
        <w:t xml:space="preserve">  </w:t>
      </w:r>
      <w:r>
        <w:rPr>
          <w:rStyle w:val="DataTypeTok"/>
        </w:rPr>
        <w:t xml:space="preserve">"@context"</w:t>
      </w:r>
      <w:r>
        <w:rPr>
          <w:rStyle w:val="FunctionTok"/>
        </w:rPr>
        <w:t xml:space="preserve">:</w:t>
      </w:r>
      <w:r>
        <w:rPr>
          <w:rStyle w:val="NormalTok"/>
        </w:rPr>
        <w:t xml:space="preserve"> </w:t>
      </w:r>
      <w:r>
        <w:rPr>
          <w:rStyle w:val="StringTok"/>
        </w:rPr>
        <w:t xml:space="preserve">"https://openvex.dev/ns/v0.2.0"</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"https://sbom.agency.gov/vex/2026-Q3/vex-20260703.json"</w:t>
      </w:r>
      <w:r>
        <w:rPr>
          <w:rStyle w:val="FunctionTok"/>
        </w:rPr>
        <w:t xml:space="preserve">,</w:t>
      </w:r>
      <w:r>
        <w:br/>
      </w:r>
      <w:r>
        <w:rPr>
          <w:rStyle w:val="NormalTok"/>
        </w:rPr>
        <w:t xml:space="preserve">  </w:t>
      </w:r>
      <w:r>
        <w:rPr>
          <w:rStyle w:val="DataTypeTok"/>
        </w:rPr>
        <w:t xml:space="preserve">"author"</w:t>
      </w:r>
      <w:r>
        <w:rPr>
          <w:rStyle w:val="FunctionTok"/>
        </w:rPr>
        <w:t xml:space="preserve">:</w:t>
      </w:r>
      <w:r>
        <w:rPr>
          <w:rStyle w:val="NormalTok"/>
        </w:rPr>
        <w:t xml:space="preserve"> </w:t>
      </w:r>
      <w:r>
        <w:rPr>
          <w:rStyle w:val="StringTok"/>
        </w:rPr>
        <w:t xml:space="preserve">"Agency Cloud Services Team"</w:t>
      </w:r>
      <w:r>
        <w:rPr>
          <w:rStyle w:val="FunctionTok"/>
        </w:rPr>
        <w:t xml:space="preserve">,</w:t>
      </w:r>
      <w:r>
        <w:br/>
      </w:r>
      <w:r>
        <w:rPr>
          <w:rStyle w:val="NormalTok"/>
        </w:rPr>
        <w:t xml:space="preserve">  </w:t>
      </w:r>
      <w:r>
        <w:rPr>
          <w:rStyle w:val="DataTypeTok"/>
        </w:rPr>
        <w:t xml:space="preserve">"timestamp"</w:t>
      </w:r>
      <w:r>
        <w:rPr>
          <w:rStyle w:val="FunctionTok"/>
        </w:rPr>
        <w:t xml:space="preserve">:</w:t>
      </w:r>
      <w:r>
        <w:rPr>
          <w:rStyle w:val="NormalTok"/>
        </w:rPr>
        <w:t xml:space="preserve"> </w:t>
      </w:r>
      <w:r>
        <w:rPr>
          <w:rStyle w:val="StringTok"/>
        </w:rPr>
        <w:t xml:space="preserve">"2026-07-03T00:00:00Z"</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"statements"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"vulnerability"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"https://nvd.nist.gov/vuln/detail/CVE-2024-12345"</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"CVE-2024-12345"</w:t>
      </w:r>
      <w:r>
        <w:br/>
      </w:r>
      <w:r>
        <w:rPr>
          <w:rStyle w:val="NormalTok"/>
        </w:rPr>
        <w:t xml:space="preserve">      </w:t>
      </w:r>
      <w:r>
        <w:rPr>
          <w:rStyle w:val="FunctionTok"/>
        </w:rPr>
        <w:t xml:space="preserve">},</w:t>
      </w:r>
      <w:r>
        <w:br/>
      </w:r>
      <w:r>
        <w:rPr>
          <w:rStyle w:val="NormalTok"/>
        </w:rPr>
        <w:t xml:space="preserve">      </w:t>
      </w:r>
      <w:r>
        <w:rPr>
          <w:rStyle w:val="DataTypeTok"/>
        </w:rPr>
        <w:t xml:space="preserve">"products"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"pkg:pypi/requests@2.28.0"</w:t>
      </w:r>
      <w:r>
        <w:rPr>
          <w:rStyle w:val="FunctionTok"/>
        </w:rPr>
        <w:t xml:space="preserve">,</w:t>
      </w:r>
      <w:r>
        <w:br/>
      </w:r>
      <w:r>
        <w:rPr>
          <w:rStyle w:val="NormalTok"/>
        </w:rPr>
        <w:t xml:space="preserve">          </w:t>
      </w:r>
      <w:r>
        <w:rPr>
          <w:rStyle w:val="DataTypeTok"/>
        </w:rPr>
        <w:t xml:space="preserve">"subcomponents"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StringTok"/>
        </w:rPr>
        <w:t xml:space="preserve">"not_affected"</w:t>
      </w:r>
      <w:r>
        <w:rPr>
          <w:rStyle w:val="FunctionTok"/>
        </w:rPr>
        <w:t xml:space="preserve">,</w:t>
      </w:r>
      <w:r>
        <w:br/>
      </w:r>
      <w:r>
        <w:rPr>
          <w:rStyle w:val="NormalTok"/>
        </w:rPr>
        <w:t xml:space="preserve">      </w:t>
      </w:r>
      <w:r>
        <w:rPr>
          <w:rStyle w:val="DataTypeTok"/>
        </w:rPr>
        <w:t xml:space="preserve">"justification"</w:t>
      </w:r>
      <w:r>
        <w:rPr>
          <w:rStyle w:val="FunctionTok"/>
        </w:rPr>
        <w:t xml:space="preserve">:</w:t>
      </w:r>
      <w:r>
        <w:rPr>
          <w:rStyle w:val="NormalTok"/>
        </w:rPr>
        <w:t xml:space="preserve"> </w:t>
      </w:r>
      <w:r>
        <w:rPr>
          <w:rStyle w:val="StringTok"/>
        </w:rPr>
        <w:t xml:space="preserve">"protected_by_mitigating_control"</w:t>
      </w:r>
      <w:r>
        <w:rPr>
          <w:rStyle w:val="FunctionTok"/>
        </w:rPr>
        <w:t xml:space="preserve">,</w:t>
      </w:r>
      <w:r>
        <w:br/>
      </w:r>
      <w:r>
        <w:rPr>
          <w:rStyle w:val="NormalTok"/>
        </w:rPr>
        <w:t xml:space="preserve">      </w:t>
      </w:r>
      <w:r>
        <w:rPr>
          <w:rStyle w:val="DataTypeTok"/>
        </w:rPr>
        <w:t xml:space="preserve">"impact_statement"</w:t>
      </w:r>
      <w:r>
        <w:rPr>
          <w:rStyle w:val="FunctionTok"/>
        </w:rPr>
        <w:t xml:space="preserve">:</w:t>
      </w:r>
      <w:r>
        <w:rPr>
          <w:rStyle w:val="NormalTok"/>
        </w:rPr>
        <w:t xml:space="preserve"> </w:t>
      </w:r>
      <w:r>
        <w:rPr>
          <w:rStyle w:val="StringTok"/>
        </w:rPr>
        <w:t xml:space="preserve">"Agency API gateway enforces input validation upstream of the affected code path. The vulnerable deserialization function is never called in production configuration."</w:t>
      </w:r>
      <w:r>
        <w:rPr>
          <w:rStyle w:val="FunctionTok"/>
        </w:rPr>
        <w:t xml:space="preserve">,</w:t>
      </w:r>
      <w:r>
        <w:br/>
      </w:r>
      <w:r>
        <w:rPr>
          <w:rStyle w:val="NormalTok"/>
        </w:rPr>
        <w:t xml:space="preserve">      </w:t>
      </w:r>
      <w:r>
        <w:rPr>
          <w:rStyle w:val="DataTypeTok"/>
        </w:rPr>
        <w:t xml:space="preserve">"action_statement"</w:t>
      </w:r>
      <w:r>
        <w:rPr>
          <w:rStyle w:val="FunctionTok"/>
        </w:rPr>
        <w:t xml:space="preserve">:</w:t>
      </w:r>
      <w:r>
        <w:rPr>
          <w:rStyle w:val="NormalTok"/>
        </w:rPr>
        <w:t xml:space="preserve"> </w:t>
      </w:r>
      <w:r>
        <w:rPr>
          <w:rStyle w:val="StringTok"/>
        </w:rPr>
        <w:t xml:space="preserve">"No action required. Controlled via API gateway policy."</w:t>
      </w:r>
      <w:r>
        <w:rPr>
          <w:rStyle w:val="FunctionTok"/>
        </w:rPr>
        <w:t xml:space="preserve">,</w:t>
      </w:r>
      <w:r>
        <w:br/>
      </w:r>
      <w:r>
        <w:rPr>
          <w:rStyle w:val="NormalTok"/>
        </w:rPr>
        <w:t xml:space="preserve">      </w:t>
      </w:r>
      <w:r>
        <w:rPr>
          <w:rStyle w:val="DataTypeTok"/>
        </w:rPr>
        <w:t xml:space="preserve">"action_statement_timestamp"</w:t>
      </w:r>
      <w:r>
        <w:rPr>
          <w:rStyle w:val="FunctionTok"/>
        </w:rPr>
        <w:t xml:space="preserve">:</w:t>
      </w:r>
      <w:r>
        <w:rPr>
          <w:rStyle w:val="NormalTok"/>
        </w:rPr>
        <w:t xml:space="preserve"> </w:t>
      </w:r>
      <w:r>
        <w:rPr>
          <w:rStyle w:val="StringTok"/>
        </w:rPr>
        <w:t xml:space="preserve">"2026-07-03T00:00:00Z"</w:t>
      </w:r>
      <w:r>
        <w:br/>
      </w:r>
      <w:r>
        <w:rPr>
          <w:rStyle w:val="NormalTok"/>
        </w:rPr>
        <w:t xml:space="preserve">    </w:t>
      </w:r>
      <w:r>
        <w:rPr>
          <w:rStyle w:val="FunctionTok"/>
        </w:rPr>
        <w:t xml:space="preserve">}</w:t>
      </w:r>
      <w:r>
        <w:br/>
      </w:r>
      <w:r>
        <w:rPr>
          <w:rStyle w:val="NormalTok"/>
        </w:rPr>
        <w:t xml:space="preserve">  </w:t>
      </w:r>
      <w:r>
        <w:rPr>
          <w:rStyle w:val="OtherTok"/>
        </w:rPr>
        <w:t xml:space="preserve">]</w:t>
      </w:r>
      <w:r>
        <w:br/>
      </w:r>
      <w:r>
        <w:rPr>
          <w:rStyle w:val="FunctionTok"/>
        </w:rPr>
        <w:t xml:space="preserve">}</w:t>
      </w:r>
    </w:p>
    <w:bookmarkEnd w:id="70"/>
    <w:bookmarkStart w:id="71" w:name="vex-authoring-process"/>
    <w:p>
      <w:pPr>
        <w:pStyle w:val="Heading2"/>
      </w:pPr>
      <w:r>
        <w:t xml:space="preserve">VEX Authoring Process</w:t>
      </w:r>
    </w:p>
    <w:p>
      <w:pPr>
        <w:pStyle w:val="FirstParagraph"/>
      </w:pPr>
      <w:r>
        <w:t xml:space="preserve">VEX assertions require human judgment — automated tools can identify whether</w:t>
      </w:r>
      <w:r>
        <w:t xml:space="preserve"> </w:t>
      </w:r>
      <w:r>
        <w:t xml:space="preserve">a code path is reachable but cannot assert deployment-context exploitability.</w:t>
      </w:r>
      <w:r>
        <w:t xml:space="preserve"> </w:t>
      </w:r>
      <w:r>
        <w:t xml:space="preserve">The authoring process:</w:t>
      </w:r>
    </w:p>
    <w:p>
      <w:pPr>
        <w:pStyle w:val="Compact"/>
        <w:numPr>
          <w:ilvl w:val="0"/>
          <w:numId w:val="1014"/>
        </w:numPr>
      </w:pPr>
      <w:r>
        <w:rPr>
          <w:b/>
          <w:bCs/>
        </w:rPr>
        <w:t xml:space="preserve">Automated</w:t>
      </w:r>
      <w:r>
        <w:t xml:space="preserve">: Grype + SBOM produce the VDR (all CVEs)</w:t>
      </w:r>
    </w:p>
    <w:p>
      <w:pPr>
        <w:pStyle w:val="Compact"/>
        <w:numPr>
          <w:ilvl w:val="0"/>
          <w:numId w:val="1014"/>
        </w:numPr>
      </w:pPr>
      <w:r>
        <w:rPr>
          <w:b/>
          <w:bCs/>
        </w:rPr>
        <w:t xml:space="preserve">Triage</w:t>
      </w:r>
      <w:r>
        <w:t xml:space="preserve">: KEV check escalates P0 CVEs for immediate human review</w:t>
      </w:r>
    </w:p>
    <w:p>
      <w:pPr>
        <w:pStyle w:val="Compact"/>
        <w:numPr>
          <w:ilvl w:val="0"/>
          <w:numId w:val="1014"/>
        </w:numPr>
      </w:pPr>
      <w:r>
        <w:rPr>
          <w:b/>
          <w:bCs/>
        </w:rPr>
        <w:t xml:space="preserve">Analysis</w:t>
      </w:r>
      <w:r>
        <w:t xml:space="preserve">: Security team reviews each CVE for deployment-context exploitability</w:t>
      </w:r>
    </w:p>
    <w:p>
      <w:pPr>
        <w:pStyle w:val="Compact"/>
        <w:numPr>
          <w:ilvl w:val="0"/>
          <w:numId w:val="1014"/>
        </w:numPr>
      </w:pPr>
      <w:r>
        <w:rPr>
          <w:b/>
          <w:bCs/>
        </w:rPr>
        <w:t xml:space="preserve">Assertion</w:t>
      </w:r>
      <w:r>
        <w:t xml:space="preserve">: Security team authors VEX assertion with justification</w:t>
      </w:r>
    </w:p>
    <w:p>
      <w:pPr>
        <w:pStyle w:val="Compact"/>
        <w:numPr>
          <w:ilvl w:val="0"/>
          <w:numId w:val="1014"/>
        </w:numPr>
      </w:pPr>
      <w:r>
        <w:rPr>
          <w:b/>
          <w:bCs/>
        </w:rPr>
        <w:t xml:space="preserve">Sign + Publish</w:t>
      </w:r>
      <w:r>
        <w:t xml:space="preserve">: VEX signed with GPG key; filed to the agency evidence repository and shared with downstream consumers per CISA VEX guidance</w:t>
      </w:r>
    </w:p>
    <w:p>
      <w:pPr>
        <w:pStyle w:val="Compact"/>
        <w:numPr>
          <w:ilvl w:val="0"/>
          <w:numId w:val="1014"/>
        </w:numPr>
      </w:pPr>
      <w:r>
        <w:rPr>
          <w:b/>
          <w:bCs/>
        </w:rPr>
        <w:t xml:space="preserve">Ingest</w:t>
      </w:r>
      <w:r>
        <w:t xml:space="preserve">: Signed VEX stored in Azure Blob immutable tier; hash published to SBOM manifest</w:t>
      </w:r>
    </w:p>
    <w:p>
      <w:r>
        <w:pict>
          <v:rect style="width:0;height:1.5pt" o:hralign="center" o:hrstd="t" o:hr="t"/>
        </w:pict>
      </w:r>
    </w:p>
    <w:bookmarkEnd w:id="71"/>
    <w:bookmarkEnd w:id="72"/>
    <w:bookmarkStart w:id="73" w:name="vendor-disclosure-matrix"/>
    <w:p>
      <w:pPr>
        <w:pStyle w:val="Heading1"/>
      </w:pPr>
      <w:r>
        <w:t xml:space="preserve">Vendor Disclosure Matrix</w:t>
      </w:r>
    </w:p>
    <w:p>
      <w:pPr>
        <w:pStyle w:val="FirstParagraph"/>
      </w:pPr>
      <w:r>
        <w:t xml:space="preserve">SR-6 requires documented supplier assessments. The vendor disclosure matrix</w:t>
      </w:r>
      <w:r>
        <w:t xml:space="preserve"> </w:t>
      </w:r>
      <w:r>
        <w:t xml:space="preserve">maps each third-party component supplier to their security disclosure program</w:t>
      </w:r>
      <w:r>
        <w:t xml:space="preserve"> </w:t>
      </w:r>
      <w:r>
        <w:t xml:space="preserve">and FedRAMP authorization status.</w:t>
      </w:r>
    </w:p>
    <w:p>
      <w:pPr>
        <w:pStyle w:val="TableCaption"/>
      </w:pPr>
      <w:r>
        <w:t xml:space="preserve">Vendor Disclosure Matrix — SR-6 Evidence</w:t>
      </w:r>
    </w:p>
    <w:tbl>
      <w:tblPr>
        <w:tblStyle w:val="Table"/>
        <w:tblW w:type="pct" w:w="5000"/>
        <w:tblLayout w:type="fixed"/>
        <w:tblLook w:firstRow="1" w:lastRow="0" w:firstColumn="0" w:lastColumn="0" w:noHBand="0" w:noVBand="0" w:val="0020"/>
        <w:tblCaption w:val="Vendor Disclosure Matrix — SR-6 Evidence"/>
      </w:tblPr>
      <w:tblGrid>
        <w:gridCol w:w="1584"/>
        <w:gridCol w:w="1584"/>
        <w:gridCol w:w="1584"/>
        <w:gridCol w:w="1584"/>
        <w:gridCol w:w="1584"/>
      </w:tblGrid>
      <w:tr>
        <w:trPr>
          <w:tblHeader w:val="on"/>
        </w:trPr>
        <w:tc>
          <w:tcPr/>
          <w:p>
            <w:pPr>
              <w:pStyle w:val="Compact"/>
            </w:pPr>
            <w:r>
              <w:t xml:space="preserve">Supplier</w:t>
            </w:r>
          </w:p>
        </w:tc>
        <w:tc>
          <w:tcPr/>
          <w:p>
            <w:pPr>
              <w:pStyle w:val="Compact"/>
            </w:pPr>
            <w:r>
              <w:t xml:space="preserve">Products in SBOM</w:t>
            </w:r>
          </w:p>
        </w:tc>
        <w:tc>
          <w:tcPr/>
          <w:p>
            <w:pPr>
              <w:pStyle w:val="Compact"/>
            </w:pPr>
            <w:r>
              <w:t xml:space="preserve">FedRAMP Authorization</w:t>
            </w:r>
          </w:p>
        </w:tc>
        <w:tc>
          <w:tcPr/>
          <w:p>
            <w:pPr>
              <w:pStyle w:val="Compact"/>
            </w:pPr>
            <w:r>
              <w:t xml:space="preserve">SBOM Program</w:t>
            </w:r>
          </w:p>
        </w:tc>
        <w:tc>
          <w:tcPr/>
          <w:p>
            <w:pPr>
              <w:pStyle w:val="Compact"/>
            </w:pPr>
            <w:r>
              <w:t xml:space="preserve">VEX Accepted</w:t>
            </w:r>
          </w:p>
        </w:tc>
      </w:tr>
      <w:tr>
        <w:tc>
          <w:tcPr/>
          <w:p>
            <w:pPr>
              <w:pStyle w:val="Compact"/>
            </w:pPr>
            <w:r>
              <w:t xml:space="preserve">Anchore</w:t>
            </w:r>
          </w:p>
        </w:tc>
        <w:tc>
          <w:tcPr/>
          <w:p>
            <w:pPr>
              <w:pStyle w:val="Compact"/>
            </w:pPr>
            <w:r>
              <w:t xml:space="preserve">Syft, Grype</w:t>
            </w:r>
          </w:p>
        </w:tc>
        <w:tc>
          <w:tcPr/>
          <w:p>
            <w:pPr>
              <w:pStyle w:val="Compact"/>
            </w:pPr>
            <w:r>
              <w:t xml:space="preserve">N/A (tooling)</w:t>
            </w:r>
          </w:p>
        </w:tc>
        <w:tc>
          <w:tcPr/>
          <w:p>
            <w:pPr>
              <w:pStyle w:val="Compact"/>
            </w:pPr>
            <w:r>
              <w:t xml:space="preserve">Native CycloneDX</w:t>
            </w:r>
          </w:p>
        </w:tc>
        <w:tc>
          <w:tcPr/>
          <w:p>
            <w:pPr>
              <w:pStyle w:val="Compact"/>
            </w:pPr>
            <w:r>
              <w:t xml:space="preserve">Yes</w:t>
            </w:r>
          </w:p>
        </w:tc>
      </w:tr>
      <w:tr>
        <w:tc>
          <w:tcPr/>
          <w:p>
            <w:pPr>
              <w:pStyle w:val="Compact"/>
            </w:pPr>
            <w:r>
              <w:t xml:space="preserve">Microsoft</w:t>
            </w:r>
          </w:p>
        </w:tc>
        <w:tc>
          <w:tcPr/>
          <w:p>
            <w:pPr>
              <w:pStyle w:val="Compact"/>
            </w:pPr>
            <w:r>
              <w:t xml:space="preserve">Defender VM, Sentinel, Purview, Key Vault</w:t>
            </w:r>
          </w:p>
        </w:tc>
        <w:tc>
          <w:tcPr/>
          <w:p>
            <w:pPr>
              <w:pStyle w:val="Compact"/>
            </w:pPr>
            <w:r>
              <w:t xml:space="preserve">Yes — GCC Moderate (fedramp.gov/marketplace/products/MSO365MT)</w:t>
            </w:r>
          </w:p>
        </w:tc>
        <w:tc>
          <w:tcPr/>
          <w:p>
            <w:pPr>
              <w:pStyle w:val="Compact"/>
            </w:pPr>
            <w:r>
              <w:t xml:space="preserve">MSRC Security Update Guide</w:t>
            </w:r>
          </w:p>
        </w:tc>
        <w:tc>
          <w:tcPr/>
          <w:p>
            <w:pPr>
              <w:pStyle w:val="Compact"/>
            </w:pPr>
            <w:r>
              <w:t xml:space="preserve">Yes (MSRC VEX)</w:t>
            </w:r>
          </w:p>
        </w:tc>
      </w:tr>
      <w:tr>
        <w:tc>
          <w:tcPr/>
          <w:p>
            <w:pPr>
              <w:pStyle w:val="Compact"/>
            </w:pPr>
            <w:r>
              <w:t xml:space="preserve">Cisco</w:t>
            </w:r>
          </w:p>
        </w:tc>
        <w:tc>
          <w:tcPr/>
          <w:p>
            <w:pPr>
              <w:pStyle w:val="Compact"/>
            </w:pPr>
            <w:r>
              <w:t xml:space="preserve">SD-WAN (IOS XE, vManage)</w:t>
            </w:r>
          </w:p>
        </w:tc>
        <w:tc>
          <w:tcPr/>
          <w:p>
            <w:pPr>
              <w:pStyle w:val="Compact"/>
            </w:pPr>
            <w:r>
              <w:t xml:space="preserve">Yes — FedRAMP Moderate (FR2012534927)</w:t>
            </w:r>
          </w:p>
        </w:tc>
        <w:tc>
          <w:tcPr/>
          <w:p>
            <w:pPr>
              <w:pStyle w:val="Compact"/>
            </w:pPr>
            <w:r>
              <w:t xml:space="preserve">Cisco PSIRT</w:t>
            </w:r>
          </w:p>
        </w:tc>
        <w:tc>
          <w:tcPr/>
          <w:p>
            <w:pPr>
              <w:pStyle w:val="Compact"/>
            </w:pPr>
            <w:r>
              <w:t xml:space="preserve">Yes (OpenVEX)</w:t>
            </w:r>
          </w:p>
        </w:tc>
      </w:tr>
      <w:tr>
        <w:tc>
          <w:tcPr/>
          <w:p>
            <w:pPr>
              <w:pStyle w:val="Compact"/>
            </w:pPr>
            <w:r>
              <w:t xml:space="preserve">Infoblox</w:t>
            </w:r>
          </w:p>
        </w:tc>
        <w:tc>
          <w:tcPr/>
          <w:p>
            <w:pPr>
              <w:pStyle w:val="Compact"/>
            </w:pPr>
            <w:r>
              <w:t xml:space="preserve">NIOS Grid, BloxOne DDI</w:t>
            </w:r>
          </w:p>
        </w:tc>
        <w:tc>
          <w:tcPr/>
          <w:p>
            <w:pPr>
              <w:pStyle w:val="Compact"/>
            </w:pPr>
            <w:r>
              <w:t xml:space="preserve">Yes — FR2017257053</w:t>
            </w:r>
          </w:p>
        </w:tc>
        <w:tc>
          <w:tcPr/>
          <w:p>
            <w:pPr>
              <w:pStyle w:val="Compact"/>
            </w:pPr>
            <w:r>
              <w:t xml:space="preserve">Infoblox Security Portal</w:t>
            </w:r>
          </w:p>
        </w:tc>
        <w:tc>
          <w:tcPr/>
          <w:p>
            <w:pPr>
              <w:pStyle w:val="Compact"/>
            </w:pPr>
            <w:r>
              <w:t xml:space="preserve">Yes</w:t>
            </w:r>
          </w:p>
        </w:tc>
      </w:tr>
      <w:tr>
        <w:tc>
          <w:tcPr/>
          <w:p>
            <w:pPr>
              <w:pStyle w:val="Compact"/>
            </w:pPr>
            <w:r>
              <w:t xml:space="preserve">NIST</w:t>
            </w:r>
          </w:p>
        </w:tc>
        <w:tc>
          <w:tcPr/>
          <w:p>
            <w:pPr>
              <w:pStyle w:val="Compact"/>
            </w:pPr>
            <w:r>
              <w:t xml:space="preserve">NVD data feed</w:t>
            </w:r>
          </w:p>
        </w:tc>
        <w:tc>
          <w:tcPr/>
          <w:p>
            <w:pPr>
              <w:pStyle w:val="Compact"/>
            </w:pPr>
            <w:r>
              <w:t xml:space="preserve">N/A (data source)</w:t>
            </w:r>
          </w:p>
        </w:tc>
        <w:tc>
          <w:tcPr/>
          <w:p>
            <w:pPr>
              <w:pStyle w:val="Compact"/>
            </w:pPr>
            <w:r>
              <w:t xml:space="preserve">NVD JSON feed</w:t>
            </w:r>
          </w:p>
        </w:tc>
        <w:tc>
          <w:tcPr/>
          <w:p>
            <w:pPr>
              <w:pStyle w:val="Compact"/>
            </w:pPr>
            <w:r>
              <w:t xml:space="preserve">N/A</w:t>
            </w:r>
          </w:p>
        </w:tc>
      </w:tr>
      <w:tr>
        <w:tc>
          <w:tcPr/>
          <w:p>
            <w:pPr>
              <w:pStyle w:val="Compact"/>
            </w:pPr>
            <w:r>
              <w:t xml:space="preserve">CISA</w:t>
            </w:r>
          </w:p>
        </w:tc>
        <w:tc>
          <w:tcPr/>
          <w:p>
            <w:pPr>
              <w:pStyle w:val="Compact"/>
            </w:pPr>
            <w:r>
              <w:t xml:space="preserve">KEV catalog feed</w:t>
            </w:r>
          </w:p>
        </w:tc>
        <w:tc>
          <w:tcPr/>
          <w:p>
            <w:pPr>
              <w:pStyle w:val="Compact"/>
            </w:pPr>
            <w:r>
              <w:t xml:space="preserve">N/A (data source)</w:t>
            </w:r>
          </w:p>
        </w:tc>
        <w:tc>
          <w:tcPr/>
          <w:p>
            <w:pPr>
              <w:pStyle w:val="Compact"/>
            </w:pPr>
            <w:r>
              <w:t xml:space="preserve">KEV JSON feed</w:t>
            </w:r>
          </w:p>
        </w:tc>
        <w:tc>
          <w:tcPr/>
          <w:p>
            <w:pPr>
              <w:pStyle w:val="Compact"/>
            </w:pPr>
            <w:r>
              <w:t xml:space="preserve">N/A</w:t>
            </w:r>
          </w:p>
        </w:tc>
      </w:tr>
    </w:tbl>
    <w:p>
      <w:r>
        <w:pict>
          <v:rect style="width:0;height:1.5pt" o:hralign="center" o:hrstd="t" o:hr="t"/>
        </w:pict>
      </w:r>
    </w:p>
    <w:bookmarkEnd w:id="73"/>
    <w:bookmarkStart w:id="76" w:name="nist-sp-800-53-rev-5-control-closure-1"/>
    <w:p>
      <w:pPr>
        <w:pStyle w:val="Heading1"/>
      </w:pPr>
      <w:r>
        <w:t xml:space="preserve">NIST SP 800-53 Rev 5 Control Closure</w:t>
      </w:r>
    </w:p>
    <w:bookmarkStart w:id="74" w:name="sr-family-controls"/>
    <w:p>
      <w:pPr>
        <w:pStyle w:val="Heading2"/>
      </w:pPr>
      <w:r>
        <w:t xml:space="preserve">SR Family Controls</w:t>
      </w:r>
    </w:p>
    <w:p>
      <w:pPr>
        <w:pStyle w:val="TableCaption"/>
      </w:pPr>
      <w:r>
        <w:t xml:space="preserve">Vol IV Book 02 — NIST SP 800-53 Rev 5 Control Closure: SR Family</w:t>
      </w:r>
    </w:p>
    <w:tbl>
      <w:tblPr>
        <w:tblStyle w:val="Table"/>
        <w:tblW w:type="pct" w:w="5000"/>
        <w:tblLayout w:type="fixed"/>
        <w:tblLook w:firstRow="1" w:lastRow="0" w:firstColumn="0" w:lastColumn="0" w:noHBand="0" w:noVBand="0" w:val="0020"/>
        <w:tblCaption w:val="Vol IV Book 02 — NIST SP 800-53 Rev 5 Control Closure: SR Family"/>
      </w:tblPr>
      <w:tblGrid>
        <w:gridCol w:w="1584"/>
        <w:gridCol w:w="1584"/>
        <w:gridCol w:w="1584"/>
        <w:gridCol w:w="1584"/>
        <w:gridCol w:w="1584"/>
      </w:tblGrid>
      <w:tr>
        <w:trPr>
          <w:tblHeader w:val="on"/>
        </w:trPr>
        <w:tc>
          <w:tcPr/>
          <w:p>
            <w:pPr>
              <w:pStyle w:val="Compact"/>
            </w:pPr>
            <w:r>
              <w:t xml:space="preserve">NIST Control</w:t>
            </w:r>
          </w:p>
        </w:tc>
        <w:tc>
          <w:tcPr/>
          <w:p>
            <w:pPr>
              <w:pStyle w:val="Compact"/>
            </w:pPr>
            <w:r>
              <w:t xml:space="preserve">Control Title</w:t>
            </w:r>
          </w:p>
        </w:tc>
        <w:tc>
          <w:tcPr/>
          <w:p>
            <w:pPr>
              <w:pStyle w:val="Compact"/>
            </w:pPr>
            <w:r>
              <w:t xml:space="preserve">Gap Under Current State</w:t>
            </w:r>
          </w:p>
        </w:tc>
        <w:tc>
          <w:tcPr/>
          <w:p>
            <w:pPr>
              <w:pStyle w:val="Compact"/>
            </w:pPr>
            <w:r>
              <w:t xml:space="preserve">Closed By</w:t>
            </w:r>
          </w:p>
        </w:tc>
        <w:tc>
          <w:tcPr/>
          <w:p>
            <w:pPr>
              <w:pStyle w:val="Compact"/>
            </w:pPr>
            <w:r>
              <w:t xml:space="preserve">Evidence</w:t>
            </w:r>
          </w:p>
        </w:tc>
      </w:tr>
      <w:tr>
        <w:tc>
          <w:tcPr/>
          <w:p>
            <w:pPr>
              <w:pStyle w:val="Compact"/>
            </w:pPr>
            <w:r>
              <w:rPr>
                <w:b/>
                <w:bCs/>
              </w:rPr>
              <w:t xml:space="preserve">SR-1</w:t>
            </w:r>
          </w:p>
        </w:tc>
        <w:tc>
          <w:tcPr/>
          <w:p>
            <w:pPr>
              <w:pStyle w:val="Compact"/>
            </w:pPr>
            <w:r>
              <w:t xml:space="preserve">Policy and Procedures</w:t>
            </w:r>
          </w:p>
        </w:tc>
        <w:tc>
          <w:tcPr/>
          <w:p>
            <w:pPr>
              <w:pStyle w:val="Compact"/>
            </w:pPr>
            <w:r>
              <w:t xml:space="preserve">No documented SCRM policy; procurement decisions lack security evaluation criteria</w:t>
            </w:r>
          </w:p>
        </w:tc>
        <w:tc>
          <w:tcPr/>
          <w:p>
            <w:pPr>
              <w:pStyle w:val="Compact"/>
            </w:pPr>
            <w:r>
              <w:t xml:space="preserve">SCRM Policy document + SBOM pipeline governance charter</w:t>
            </w:r>
          </w:p>
        </w:tc>
        <w:tc>
          <w:tcPr/>
          <w:p>
            <w:pPr>
              <w:pStyle w:val="Compact"/>
            </w:pPr>
            <w:r>
              <w:t xml:space="preserve">Pipeline run log; policy document in SSP</w:t>
            </w:r>
          </w:p>
        </w:tc>
      </w:tr>
      <w:tr>
        <w:tc>
          <w:tcPr/>
          <w:p>
            <w:pPr>
              <w:pStyle w:val="Compact"/>
            </w:pPr>
            <w:r>
              <w:rPr>
                <w:b/>
                <w:bCs/>
              </w:rPr>
              <w:t xml:space="preserve">SR-2</w:t>
            </w:r>
          </w:p>
        </w:tc>
        <w:tc>
          <w:tcPr/>
          <w:p>
            <w:pPr>
              <w:pStyle w:val="Compact"/>
            </w:pPr>
            <w:r>
              <w:t xml:space="preserve">Supply Chain Risk Management Plan</w:t>
            </w:r>
          </w:p>
        </w:tc>
        <w:tc>
          <w:tcPr/>
          <w:p>
            <w:pPr>
              <w:pStyle w:val="Compact"/>
            </w:pPr>
            <w:r>
              <w:t xml:space="preserve">No SCRM plan; supplier risk not assessed systematically</w:t>
            </w:r>
          </w:p>
        </w:tc>
        <w:tc>
          <w:tcPr/>
          <w:p>
            <w:pPr>
              <w:pStyle w:val="Compact"/>
            </w:pPr>
            <w:r>
              <w:t xml:space="preserve">SBOM pipeline + vendor disclosure matrix + KEV integration</w:t>
            </w:r>
          </w:p>
        </w:tc>
        <w:tc>
          <w:tcPr/>
          <w:p>
            <w:pPr>
              <w:pStyle w:val="Compact"/>
            </w:pPr>
            <w:r>
              <w:t xml:space="preserve">SBOM manifest; vendor matrix; KEV triage log</w:t>
            </w:r>
          </w:p>
        </w:tc>
      </w:tr>
      <w:tr>
        <w:tc>
          <w:tcPr/>
          <w:p>
            <w:pPr>
              <w:pStyle w:val="Compact"/>
            </w:pPr>
            <w:r>
              <w:rPr>
                <w:b/>
                <w:bCs/>
              </w:rPr>
              <w:t xml:space="preserve">SR-3</w:t>
            </w:r>
          </w:p>
        </w:tc>
        <w:tc>
          <w:tcPr/>
          <w:p>
            <w:pPr>
              <w:pStyle w:val="Compact"/>
            </w:pPr>
            <w:r>
              <w:t xml:space="preserve">Supply Chain Controls and Processes</w:t>
            </w:r>
          </w:p>
        </w:tc>
        <w:tc>
          <w:tcPr/>
          <w:p>
            <w:pPr>
              <w:pStyle w:val="Compact"/>
            </w:pPr>
            <w:r>
              <w:t xml:space="preserve">Software acquisition lacks SBOM requirements; no contractual SBOM delivery clause</w:t>
            </w:r>
          </w:p>
        </w:tc>
        <w:tc>
          <w:tcPr/>
          <w:p>
            <w:pPr>
              <w:pStyle w:val="Compact"/>
            </w:pPr>
            <w:r>
              <w:t xml:space="preserve">Acquisition policy update requiring CycloneDX SBOM delivery from suppliers; SBOM ingest pipeline</w:t>
            </w:r>
          </w:p>
        </w:tc>
        <w:tc>
          <w:tcPr/>
          <w:p>
            <w:pPr>
              <w:pStyle w:val="Compact"/>
            </w:pPr>
            <w:r>
              <w:t xml:space="preserve">Acquisition policy; SBOM pipeline job log</w:t>
            </w:r>
          </w:p>
        </w:tc>
      </w:tr>
      <w:tr>
        <w:tc>
          <w:tcPr/>
          <w:p>
            <w:pPr>
              <w:pStyle w:val="Compact"/>
            </w:pPr>
            <w:r>
              <w:rPr>
                <w:b/>
                <w:bCs/>
              </w:rPr>
              <w:t xml:space="preserve">SR-5</w:t>
            </w:r>
          </w:p>
        </w:tc>
        <w:tc>
          <w:tcPr/>
          <w:p>
            <w:pPr>
              <w:pStyle w:val="Compact"/>
            </w:pPr>
            <w:r>
              <w:t xml:space="preserve">Acquisition Strategies, Tools, and Methods</w:t>
            </w:r>
          </w:p>
        </w:tc>
        <w:tc>
          <w:tcPr/>
          <w:p>
            <w:pPr>
              <w:pStyle w:val="Compact"/>
            </w:pPr>
            <w:r>
              <w:t xml:space="preserve">No software composition analysis in procurement evaluation</w:t>
            </w:r>
          </w:p>
        </w:tc>
        <w:tc>
          <w:tcPr/>
          <w:p>
            <w:pPr>
              <w:pStyle w:val="Compact"/>
            </w:pPr>
            <w:r>
              <w:t xml:space="preserve">SCA tooling (Syft + Grype) integrated into CI/CD before production promotion</w:t>
            </w:r>
          </w:p>
        </w:tc>
        <w:tc>
          <w:tcPr/>
          <w:p>
            <w:pPr>
              <w:pStyle w:val="Compact"/>
            </w:pPr>
            <w:r>
              <w:t xml:space="preserve">Pipeline artifact; pre-approval gate log</w:t>
            </w:r>
          </w:p>
        </w:tc>
      </w:tr>
      <w:tr>
        <w:tc>
          <w:tcPr/>
          <w:p>
            <w:pPr>
              <w:pStyle w:val="Compact"/>
            </w:pPr>
            <w:r>
              <w:rPr>
                <w:b/>
                <w:bCs/>
              </w:rPr>
              <w:t xml:space="preserve">SR-6</w:t>
            </w:r>
          </w:p>
        </w:tc>
        <w:tc>
          <w:tcPr/>
          <w:p>
            <w:pPr>
              <w:pStyle w:val="Compact"/>
            </w:pPr>
            <w:r>
              <w:t xml:space="preserve">Supplier Assessments and Reviews</w:t>
            </w:r>
          </w:p>
        </w:tc>
        <w:tc>
          <w:tcPr/>
          <w:p>
            <w:pPr>
              <w:pStyle w:val="Compact"/>
            </w:pPr>
            <w:r>
              <w:t xml:space="preserve">No structured supplier security review; FedRAMP authorization status not tracked per supplier</w:t>
            </w:r>
          </w:p>
        </w:tc>
        <w:tc>
          <w:tcPr/>
          <w:p>
            <w:pPr>
              <w:pStyle w:val="Compact"/>
            </w:pPr>
            <w:r>
              <w:t xml:space="preserve">Vendor disclosure matrix; annual supplier assessment schedule; MSRC/PSIRT feed subscriptions</w:t>
            </w:r>
          </w:p>
        </w:tc>
        <w:tc>
          <w:tcPr/>
          <w:p>
            <w:pPr>
              <w:pStyle w:val="Compact"/>
            </w:pPr>
            <w:r>
              <w:t xml:space="preserve">Vendor matrix; assessment calendar; feed subscription records</w:t>
            </w:r>
          </w:p>
        </w:tc>
      </w:tr>
      <w:tr>
        <w:tc>
          <w:tcPr/>
          <w:p>
            <w:pPr>
              <w:pStyle w:val="Compact"/>
            </w:pPr>
            <w:r>
              <w:rPr>
                <w:b/>
                <w:bCs/>
              </w:rPr>
              <w:t xml:space="preserve">SR-8</w:t>
            </w:r>
          </w:p>
        </w:tc>
        <w:tc>
          <w:tcPr/>
          <w:p>
            <w:pPr>
              <w:pStyle w:val="Compact"/>
            </w:pPr>
            <w:r>
              <w:t xml:space="preserve">Notification Agreements</w:t>
            </w:r>
          </w:p>
        </w:tc>
        <w:tc>
          <w:tcPr/>
          <w:p>
            <w:pPr>
              <w:pStyle w:val="Compact"/>
            </w:pPr>
            <w:r>
              <w:t xml:space="preserve">No documented process for receiving and responding to supplier vulnerability notifications</w:t>
            </w:r>
          </w:p>
        </w:tc>
        <w:tc>
          <w:tcPr/>
          <w:p>
            <w:pPr>
              <w:pStyle w:val="Compact"/>
            </w:pPr>
            <w:r>
              <w:t xml:space="preserve">MSRC Security Update Guide subscription; Cisco PSIRT subscription; Infoblox security portal registration</w:t>
            </w:r>
          </w:p>
        </w:tc>
        <w:tc>
          <w:tcPr/>
          <w:p>
            <w:pPr>
              <w:pStyle w:val="Compact"/>
            </w:pPr>
            <w:r>
              <w:t xml:space="preserve">Notification feed subscriptions; incident response playbook for supplier CVEs</w:t>
            </w:r>
          </w:p>
        </w:tc>
      </w:tr>
      <w:tr>
        <w:tc>
          <w:tcPr/>
          <w:p>
            <w:pPr>
              <w:pStyle w:val="Compact"/>
            </w:pPr>
            <w:r>
              <w:rPr>
                <w:b/>
                <w:bCs/>
              </w:rPr>
              <w:t xml:space="preserve">SR-10</w:t>
            </w:r>
          </w:p>
        </w:tc>
        <w:tc>
          <w:tcPr/>
          <w:p>
            <w:pPr>
              <w:pStyle w:val="Compact"/>
            </w:pPr>
            <w:r>
              <w:t xml:space="preserve">Inspection of Systems or Components</w:t>
            </w:r>
          </w:p>
        </w:tc>
        <w:tc>
          <w:tcPr/>
          <w:p>
            <w:pPr>
              <w:pStyle w:val="Compact"/>
            </w:pPr>
            <w:r>
              <w:t xml:space="preserve">No component integrity verification at build or deployment</w:t>
            </w:r>
          </w:p>
        </w:tc>
        <w:tc>
          <w:tcPr/>
          <w:p>
            <w:pPr>
              <w:pStyle w:val="Compact"/>
            </w:pPr>
            <w:r>
              <w:t xml:space="preserve">Syft SBOM hash verification at container pull; GPG-signed SBOM manifest; supply chain attestation in SLSA Level 2</w:t>
            </w:r>
          </w:p>
        </w:tc>
        <w:tc>
          <w:tcPr/>
          <w:p>
            <w:pPr>
              <w:pStyle w:val="Compact"/>
            </w:pPr>
            <w:r>
              <w:t xml:space="preserve">SLSA provenance records; container image hash verification log</w:t>
            </w:r>
          </w:p>
        </w:tc>
      </w:tr>
      <w:tr>
        <w:tc>
          <w:tcPr/>
          <w:p>
            <w:pPr>
              <w:pStyle w:val="Compact"/>
            </w:pPr>
            <w:r>
              <w:rPr>
                <w:b/>
                <w:bCs/>
              </w:rPr>
              <w:t xml:space="preserve">SR-11</w:t>
            </w:r>
          </w:p>
        </w:tc>
        <w:tc>
          <w:tcPr/>
          <w:p>
            <w:pPr>
              <w:pStyle w:val="Compact"/>
            </w:pPr>
            <w:r>
              <w:t xml:space="preserve">Component Authenticity</w:t>
            </w:r>
          </w:p>
        </w:tc>
        <w:tc>
          <w:tcPr/>
          <w:p>
            <w:pPr>
              <w:pStyle w:val="Compact"/>
            </w:pPr>
            <w:r>
              <w:t xml:space="preserve">No cryptographic verification of component authenticity; no process for detecting counterfeit components</w:t>
            </w:r>
          </w:p>
        </w:tc>
        <w:tc>
          <w:tcPr/>
          <w:p>
            <w:pPr>
              <w:pStyle w:val="Compact"/>
            </w:pPr>
            <w:r>
              <w:t xml:space="preserve">GPG-signed SBOMs; SLSA provenance attestation; sigstore (Cosign) for container image signing</w:t>
            </w:r>
          </w:p>
        </w:tc>
        <w:tc>
          <w:tcPr/>
          <w:p>
            <w:pPr>
              <w:pStyle w:val="Compact"/>
            </w:pPr>
            <w:r>
              <w:t xml:space="preserve">Cosign signature verification log; SLSA provenance; SBOM manifest with component hashes</w:t>
            </w:r>
          </w:p>
        </w:tc>
      </w:tr>
    </w:tbl>
    <w:p>
      <w:pPr>
        <w:pStyle w:val="BodyText"/>
      </w:pPr>
      <w:r>
        <w:rPr>
          <w:b/>
          <w:bCs/>
        </w:rPr>
        <w:t xml:space="preserve">Controls closed: 8</w:t>
      </w:r>
      <w:r>
        <w:t xml:space="preserve"> </w:t>
      </w:r>
      <w:r>
        <w:t xml:space="preserve">(SR-1, SR-2, SR-3, SR-5, SR-6, SR-8, SR-10, SR-11) — pending registration in the compliance spine.</w:t>
      </w:r>
    </w:p>
    <w:p>
      <w:pPr>
        <w:pStyle w:val="BlockText"/>
      </w:pPr>
      <w:r>
        <w:rPr>
          <w:b/>
          <w:bCs/>
        </w:rPr>
        <w:t xml:space="preserve">Closure Necessity — SR family.</w:t>
      </w:r>
      <w:r>
        <w:t xml:space="preserve"> </w:t>
      </w:r>
      <w:r>
        <w:t xml:space="preserve">These eight controls close through</w:t>
      </w:r>
      <w:r>
        <w:t xml:space="preserve"> </w:t>
      </w:r>
      <w:r>
        <w:t xml:space="preserve">governance artifacts — the SBOM manifest, the VDR, signed VEX assertions, and</w:t>
      </w:r>
      <w:r>
        <w:t xml:space="preserve"> </w:t>
      </w:r>
      <w:r>
        <w:t xml:space="preserve">the acquisition language that compels them from suppliers — not through the</w:t>
      </w:r>
      <w:r>
        <w:t xml:space="preserve"> </w:t>
      </w:r>
      <w:r>
        <w:t xml:space="preserve">network substrate. No IPAM record, SD-WAN overlay, or TIC 3.0 enforcement</w:t>
      </w:r>
      <w:r>
        <w:t xml:space="preserve"> </w:t>
      </w:r>
      <w:r>
        <w:t xml:space="preserve">point produces a software bill of materials or a supplier attestation. This</w:t>
      </w:r>
      <w:r>
        <w:t xml:space="preserve"> </w:t>
      </w:r>
      <w:r>
        <w:t xml:space="preserve">series claims a technology as required only where control text, physics, or</w:t>
      </w:r>
      <w:r>
        <w:t xml:space="preserve"> </w:t>
      </w:r>
      <w:r>
        <w:t xml:space="preserve">protocol behavior makes it the sole closure path; stating plainly that supply</w:t>
      </w:r>
      <w:r>
        <w:t xml:space="preserve"> </w:t>
      </w:r>
      <w:r>
        <w:t xml:space="preserve">chain risk management is not such a case is what keeps those necessity claims</w:t>
      </w:r>
      <w:r>
        <w:t xml:space="preserve"> </w:t>
      </w:r>
      <w:r>
        <w:t xml:space="preserve">credible elsewhere.</w:t>
      </w:r>
    </w:p>
    <w:bookmarkEnd w:id="74"/>
    <w:bookmarkStart w:id="75" w:name="ksi-cmt-evidence-contract-ksi-011014"/>
    <w:p>
      <w:pPr>
        <w:pStyle w:val="Heading2"/>
      </w:pPr>
      <w:r>
        <w:t xml:space="preserve">KSI-CMT Evidence Contract (KSI-011–014)</w:t>
      </w:r>
    </w:p>
    <w:p>
      <w:pPr>
        <w:pStyle w:val="FirstParagraph"/>
      </w:pPr>
      <w:r>
        <w:t xml:space="preserve">The SBOM/VDR/VEX pipeline provides the VER (Vulnerability Evaluation &amp;</w:t>
      </w:r>
      <w:r>
        <w:t xml:space="preserve"> </w:t>
      </w:r>
      <w:r>
        <w:t xml:space="preserve">Reporting) evidence contract required to upgrade KSI-CMT rules from scaffold</w:t>
      </w:r>
      <w:r>
        <w:t xml:space="preserve"> </w:t>
      </w:r>
      <w:r>
        <w:t xml:space="preserve">to evaluable. The pipeline produces machine-readable artifacts that satisfy</w:t>
      </w:r>
      <w:r>
        <w:t xml:space="preserve"> </w:t>
      </w:r>
      <w:r>
        <w:t xml:space="preserve">the KSI-CMT sub-control requirements:</w:t>
      </w:r>
    </w:p>
    <w:p>
      <w:pPr>
        <w:pStyle w:val="TableCaption"/>
      </w:pPr>
      <w:r>
        <w:t xml:space="preserve">KSI-CMT Evidence Contract — Vol IV Book 02 Provides VER Evidence for KSI-011–014</w:t>
      </w:r>
    </w:p>
    <w:tbl>
      <w:tblPr>
        <w:tblStyle w:val="Table"/>
        <w:tblW w:type="pct" w:w="5000"/>
        <w:tblLayout w:type="fixed"/>
        <w:tblLook w:firstRow="1" w:lastRow="0" w:firstColumn="0" w:lastColumn="0" w:noHBand="0" w:noVBand="0" w:val="0020"/>
        <w:tblCaption w:val="KSI-CMT Evidence Contract — Vol IV Book 02 Provides VER Evidence for KSI-011–014"/>
      </w:tblPr>
      <w:tblGrid>
        <w:gridCol w:w="1980"/>
        <w:gridCol w:w="1980"/>
        <w:gridCol w:w="1980"/>
        <w:gridCol w:w="1980"/>
      </w:tblGrid>
      <w:tr>
        <w:trPr>
          <w:tblHeader w:val="on"/>
        </w:trPr>
        <w:tc>
          <w:tcPr/>
          <w:p>
            <w:pPr>
              <w:pStyle w:val="Compact"/>
            </w:pPr>
            <w:r>
              <w:t xml:space="preserve">KSI Rule</w:t>
            </w:r>
          </w:p>
        </w:tc>
        <w:tc>
          <w:tcPr/>
          <w:p>
            <w:pPr>
              <w:pStyle w:val="Compact"/>
            </w:pPr>
            <w:r>
              <w:t xml:space="preserve">KSI Title</w:t>
            </w:r>
          </w:p>
        </w:tc>
        <w:tc>
          <w:tcPr/>
          <w:p>
            <w:pPr>
              <w:pStyle w:val="Compact"/>
            </w:pPr>
            <w:r>
              <w:t xml:space="preserve">NIST Controls</w:t>
            </w:r>
          </w:p>
        </w:tc>
        <w:tc>
          <w:tcPr/>
          <w:p>
            <w:pPr>
              <w:pStyle w:val="Compact"/>
            </w:pPr>
            <w:r>
              <w:t xml:space="preserve">Evidence from Vol IV Book 02 Pipeline</w:t>
            </w:r>
          </w:p>
        </w:tc>
      </w:tr>
      <w:tr>
        <w:tc>
          <w:tcPr/>
          <w:p>
            <w:pPr>
              <w:pStyle w:val="Compact"/>
            </w:pPr>
            <w:r>
              <w:rPr>
                <w:b/>
                <w:bCs/>
              </w:rPr>
              <w:t xml:space="preserve">KSI-011</w:t>
            </w:r>
          </w:p>
        </w:tc>
        <w:tc>
          <w:tcPr/>
          <w:p>
            <w:pPr>
              <w:pStyle w:val="Compact"/>
            </w:pPr>
            <w:r>
              <w:t xml:space="preserve">Change Logging and Monitoring</w:t>
            </w:r>
          </w:p>
        </w:tc>
        <w:tc>
          <w:tcPr/>
          <w:p>
            <w:pPr>
              <w:pStyle w:val="Compact"/>
            </w:pPr>
            <w:r>
              <w:t xml:space="preserve">CM-3, AU-6</w:t>
            </w:r>
          </w:p>
        </w:tc>
        <w:tc>
          <w:tcPr/>
          <w:p>
            <w:pPr>
              <w:pStyle w:val="Compact"/>
            </w:pPr>
            <w:r>
              <w:t xml:space="preserve">SBOM diff between releases: every dependency change is logged as a structured artifact with author, timestamp, and before/after hash. Ingested by Sentinel (Vol III Book 06) as a structured change event.</w:t>
            </w:r>
          </w:p>
        </w:tc>
      </w:tr>
      <w:tr>
        <w:tc>
          <w:tcPr/>
          <w:p>
            <w:pPr>
              <w:pStyle w:val="Compact"/>
            </w:pPr>
            <w:r>
              <w:rPr>
                <w:b/>
                <w:bCs/>
              </w:rPr>
              <w:t xml:space="preserve">KSI-012</w:t>
            </w:r>
          </w:p>
        </w:tc>
        <w:tc>
          <w:tcPr/>
          <w:p>
            <w:pPr>
              <w:pStyle w:val="Compact"/>
            </w:pPr>
            <w:r>
              <w:t xml:space="preserve">Immutable Redeployment over Direct Modification</w:t>
            </w:r>
          </w:p>
        </w:tc>
        <w:tc>
          <w:tcPr/>
          <w:p>
            <w:pPr>
              <w:pStyle w:val="Compact"/>
            </w:pPr>
            <w:r>
              <w:t xml:space="preserve">CM-2, SA-10</w:t>
            </w:r>
          </w:p>
        </w:tc>
        <w:tc>
          <w:tcPr/>
          <w:p>
            <w:pPr>
              <w:pStyle w:val="Compact"/>
            </w:pPr>
            <w:r>
              <w:t xml:space="preserve">SLSA provenance attestation: every production artifact is built from a versioned source, not modified in-place. The SBOM manifest + SLSA Level 2 record proves the deployed artifact matches the build artifact.</w:t>
            </w:r>
          </w:p>
        </w:tc>
      </w:tr>
      <w:tr>
        <w:tc>
          <w:tcPr/>
          <w:p>
            <w:pPr>
              <w:pStyle w:val="Compact"/>
            </w:pPr>
            <w:r>
              <w:rPr>
                <w:b/>
                <w:bCs/>
              </w:rPr>
              <w:t xml:space="preserve">KSI-013</w:t>
            </w:r>
          </w:p>
        </w:tc>
        <w:tc>
          <w:tcPr/>
          <w:p>
            <w:pPr>
              <w:pStyle w:val="Compact"/>
            </w:pPr>
            <w:r>
              <w:t xml:space="preserve">Change-Procedure Effectiveness Review</w:t>
            </w:r>
          </w:p>
        </w:tc>
        <w:tc>
          <w:tcPr/>
          <w:p>
            <w:pPr>
              <w:pStyle w:val="Compact"/>
            </w:pPr>
            <w:r>
              <w:t xml:space="preserve">CM-3, CA-7</w:t>
            </w:r>
          </w:p>
        </w:tc>
        <w:tc>
          <w:tcPr/>
          <w:p>
            <w:pPr>
              <w:pStyle w:val="Compact"/>
            </w:pPr>
            <w:r>
              <w:t xml:space="preserve">VEX quarterly review cycle: VEX assertions must be reviewed every 90 days or upon new CVE disclosure. Review completion is a dated, signed record — the change-procedure effectiveness evidence.</w:t>
            </w:r>
          </w:p>
        </w:tc>
      </w:tr>
      <w:tr>
        <w:tc>
          <w:tcPr/>
          <w:p>
            <w:pPr>
              <w:pStyle w:val="Compact"/>
            </w:pPr>
            <w:r>
              <w:rPr>
                <w:b/>
                <w:bCs/>
              </w:rPr>
              <w:t xml:space="preserve">KSI-014</w:t>
            </w:r>
          </w:p>
        </w:tc>
        <w:tc>
          <w:tcPr/>
          <w:p>
            <w:pPr>
              <w:pStyle w:val="Compact"/>
            </w:pPr>
            <w:r>
              <w:t xml:space="preserve">Automated Validation Throughout Deployment</w:t>
            </w:r>
          </w:p>
        </w:tc>
        <w:tc>
          <w:tcPr/>
          <w:p>
            <w:pPr>
              <w:pStyle w:val="Compact"/>
            </w:pPr>
            <w:r>
              <w:t xml:space="preserve">CM-3(2), SA-11</w:t>
            </w:r>
          </w:p>
        </w:tc>
        <w:tc>
          <w:tcPr/>
          <w:p>
            <w:pPr>
              <w:pStyle w:val="Compact"/>
            </w:pPr>
            <w:r>
              <w:t xml:space="preserve">Grype scan runs on every PR and blocks merge if a new critical CVE appears in the SBOM. Scan result = machine-readable validation artifact per deployment.</w:t>
            </w:r>
          </w:p>
        </w:tc>
      </w:tr>
    </w:tbl>
    <w:p>
      <w:r>
        <w:pict>
          <v:rect style="width:0;height:1.5pt" o:hralign="center" o:hrstd="t" o:hr="t"/>
        </w:pict>
      </w:r>
    </w:p>
    <w:bookmarkEnd w:id="75"/>
    <w:bookmarkEnd w:id="76"/>
    <w:bookmarkStart w:id="77" w:name="X4fb379a067686b0992d2d320e68f5b27e9c8070"/>
    <w:p>
      <w:pPr>
        <w:pStyle w:val="Heading1"/>
      </w:pPr>
      <w:r>
        <w:t xml:space="preserve">SLSA Supply Chain Levels for Software Artifacts</w:t>
      </w:r>
    </w:p>
    <w:p>
      <w:pPr>
        <w:pStyle w:val="FirstParagraph"/>
      </w:pPr>
      <w:r>
        <w:t xml:space="preserve">SLSA (Supply Chain Levels for Software Artifacts) is the NIST-endorsed framework</w:t>
      </w:r>
      <w:r>
        <w:t xml:space="preserve"> </w:t>
      </w:r>
      <w:r>
        <w:t xml:space="preserve">for measuring build integrity. The pipeline targets</w:t>
      </w:r>
      <w:r>
        <w:t xml:space="preserve"> </w:t>
      </w:r>
      <w:r>
        <w:rPr>
          <w:b/>
          <w:bCs/>
        </w:rPr>
        <w:t xml:space="preserve">SLSA Level 2</w:t>
      </w:r>
      <w:r>
        <w:t xml:space="preserve"> </w:t>
      </w:r>
      <w:r>
        <w:t xml:space="preserve">for initial</w:t>
      </w:r>
      <w:r>
        <w:t xml:space="preserve"> </w:t>
      </w:r>
      <w:r>
        <w:t xml:space="preserve">compliance, progressing to Level 3 before the authorization deadline.</w:t>
      </w:r>
    </w:p>
    <w:p>
      <w:pPr>
        <w:pStyle w:val="TableCaption"/>
      </w:pPr>
      <w:r>
        <w:t xml:space="preserve">SLSA Levels and Agency Implementation Path</w:t>
      </w:r>
    </w:p>
    <w:tbl>
      <w:tblPr>
        <w:tblStyle w:val="Table"/>
        <w:tblW w:type="pct" w:w="5000"/>
        <w:tblLayout w:type="fixed"/>
        <w:tblLook w:firstRow="1" w:lastRow="0" w:firstColumn="0" w:lastColumn="0" w:noHBand="0" w:noVBand="0" w:val="0020"/>
        <w:tblCaption w:val="SLSA Levels and Agency Implementation Path"/>
      </w:tblPr>
      <w:tblGrid>
        <w:gridCol w:w="2640"/>
        <w:gridCol w:w="2640"/>
        <w:gridCol w:w="2640"/>
      </w:tblGrid>
      <w:tr>
        <w:trPr>
          <w:tblHeader w:val="on"/>
        </w:trPr>
        <w:tc>
          <w:tcPr/>
          <w:p>
            <w:pPr>
              <w:pStyle w:val="Compact"/>
            </w:pPr>
            <w:r>
              <w:t xml:space="preserve">SLSA Level</w:t>
            </w:r>
          </w:p>
        </w:tc>
        <w:tc>
          <w:tcPr/>
          <w:p>
            <w:pPr>
              <w:pStyle w:val="Compact"/>
            </w:pPr>
            <w:r>
              <w:t xml:space="preserve">Requirements</w:t>
            </w:r>
          </w:p>
        </w:tc>
        <w:tc>
          <w:tcPr/>
          <w:p>
            <w:pPr>
              <w:pStyle w:val="Compact"/>
            </w:pPr>
            <w:r>
              <w:t xml:space="preserve">Agency Implementation</w:t>
            </w:r>
          </w:p>
        </w:tc>
      </w:tr>
      <w:tr>
        <w:tc>
          <w:tcPr/>
          <w:p>
            <w:pPr>
              <w:pStyle w:val="Compact"/>
            </w:pPr>
            <w:r>
              <w:rPr>
                <w:b/>
                <w:bCs/>
              </w:rPr>
              <w:t xml:space="preserve">Level 1</w:t>
            </w:r>
          </w:p>
        </w:tc>
        <w:tc>
          <w:tcPr/>
          <w:p>
            <w:pPr>
              <w:pStyle w:val="Compact"/>
            </w:pPr>
            <w:r>
              <w:t xml:space="preserve">Provenance document exists</w:t>
            </w:r>
          </w:p>
        </w:tc>
        <w:tc>
          <w:tcPr/>
          <w:p>
            <w:pPr>
              <w:pStyle w:val="Compact"/>
            </w:pPr>
            <w:r>
              <w:t xml:space="preserve">GitHub Actions SBOM workflow produces attestation automatically</w:t>
            </w:r>
          </w:p>
        </w:tc>
      </w:tr>
      <w:tr>
        <w:tc>
          <w:tcPr/>
          <w:p>
            <w:pPr>
              <w:pStyle w:val="Compact"/>
            </w:pPr>
            <w:r>
              <w:rPr>
                <w:b/>
                <w:bCs/>
              </w:rPr>
              <w:t xml:space="preserve">Level 2</w:t>
            </w:r>
          </w:p>
        </w:tc>
        <w:tc>
          <w:tcPr/>
          <w:p>
            <w:pPr>
              <w:pStyle w:val="Compact"/>
            </w:pPr>
            <w:r>
              <w:t xml:space="preserve">Hosted build, signed provenance</w:t>
            </w:r>
          </w:p>
        </w:tc>
        <w:tc>
          <w:tcPr/>
          <w:p>
            <w:pPr>
              <w:pStyle w:val="Compact"/>
            </w:pPr>
            <w:r>
              <w:t xml:space="preserve">GitHub Actions runs on GitHub-hosted runners; provenance signed by OIDC token</w:t>
            </w:r>
          </w:p>
        </w:tc>
      </w:tr>
      <w:tr>
        <w:tc>
          <w:tcPr/>
          <w:p>
            <w:pPr>
              <w:pStyle w:val="Compact"/>
            </w:pPr>
            <w:r>
              <w:rPr>
                <w:b/>
                <w:bCs/>
              </w:rPr>
              <w:t xml:space="preserve">Level 3</w:t>
            </w:r>
          </w:p>
        </w:tc>
        <w:tc>
          <w:tcPr/>
          <w:p>
            <w:pPr>
              <w:pStyle w:val="Compact"/>
            </w:pPr>
            <w:r>
              <w:t xml:space="preserve">Hardened build, two-party review</w:t>
            </w:r>
          </w:p>
        </w:tc>
        <w:tc>
          <w:tcPr/>
          <w:p>
            <w:pPr>
              <w:pStyle w:val="Compact"/>
            </w:pPr>
            <w:r>
              <w:t xml:space="preserve">Level 3 target — requires branch protection + required reviewers for release workflow</w:t>
            </w:r>
          </w:p>
        </w:tc>
      </w:tr>
    </w:tbl>
    <w:p>
      <w:pPr>
        <w:pStyle w:val="BodyText"/>
      </w:pPr>
      <w:r>
        <w:t xml:space="preserve">} production posture. Column 3, Level 3: hardened build with two-party review — branch protection plus required reviewers on the release workflow, tagged</w:t>
      </w:r>
      <w:r>
        <w:t xml:space="preserve"> </w:t>
      </w:r>
      <w:r>
        <w:t xml:space="preserve">‘Deadline goal’</w:t>
      </w:r>
      <w:r>
        <w:t xml:space="preserve"> </w:t>
      </w:r>
      <w:r>
        <w:t xml:space="preserve">before the authorization deadline. A summary banner notes SLSA is the NIST-endorsed framework for measuring build integrity — the provenance thread that proves the component scanned is the component deployed. White background. Source: Vol IV Book 02 Supply Chain Risk Management briefing deck, Date Code 2026-07-09 17:00 ET.” width=</w:t>
      </w:r>
      <w:r>
        <w:t xml:space="preserve">“100%”</w:t>
      </w:r>
      <w:r>
        <w:t xml:space="preserve">}</w:t>
      </w:r>
    </w:p>
    <w:p>
      <w:r>
        <w:pict>
          <v:rect style="width:0;height:1.5pt" o:hralign="center" o:hrstd="t" o:hr="t"/>
        </w:pict>
      </w:r>
    </w:p>
    <w:bookmarkEnd w:id="77"/>
    <w:bookmarkStart w:id="80" w:name="continuous-monitoring-integration"/>
    <w:p>
      <w:pPr>
        <w:pStyle w:val="Heading1"/>
      </w:pPr>
      <w:r>
        <w:t xml:space="preserve">Continuous Monitoring Integration</w:t>
      </w:r>
    </w:p>
    <w:bookmarkStart w:id="78" w:name="sentinel-dashboard-ksi-mla-integration"/>
    <w:p>
      <w:pPr>
        <w:pStyle w:val="Heading2"/>
      </w:pPr>
      <w:r>
        <w:t xml:space="preserve">Sentinel Dashboard (KSI-MLA Integration)</w:t>
      </w:r>
    </w:p>
    <w:p>
      <w:pPr>
        <w:pStyle w:val="FirstParagraph"/>
      </w:pPr>
      <w:r>
        <w:t xml:space="preserve">The SBOM/VDR/VEX pipeline integrates with Microsoft Sentinel (Vol III Book 06) via a</w:t>
      </w:r>
      <w:r>
        <w:t xml:space="preserve"> </w:t>
      </w:r>
      <w:r>
        <w:t xml:space="preserve">custom data connector that ingests:</w:t>
      </w:r>
    </w:p>
    <w:p>
      <w:pPr>
        <w:pStyle w:val="Compact"/>
        <w:numPr>
          <w:ilvl w:val="0"/>
          <w:numId w:val="1015"/>
        </w:numPr>
      </w:pPr>
      <w:r>
        <w:t xml:space="preserve">Daily SBOM diff (new/removed/updated components)</w:t>
      </w:r>
    </w:p>
    <w:p>
      <w:pPr>
        <w:pStyle w:val="Compact"/>
        <w:numPr>
          <w:ilvl w:val="0"/>
          <w:numId w:val="1015"/>
        </w:numPr>
      </w:pPr>
      <w:r>
        <w:t xml:space="preserve">VDR CVE count by severity (critical/high/medium/low)</w:t>
      </w:r>
    </w:p>
    <w:p>
      <w:pPr>
        <w:pStyle w:val="Compact"/>
        <w:numPr>
          <w:ilvl w:val="0"/>
          <w:numId w:val="1015"/>
        </w:numPr>
      </w:pPr>
      <w:r>
        <w:t xml:space="preserve">VEX assertion status distribution (not_affected / affected / fixed / under_investigation)</w:t>
      </w:r>
    </w:p>
    <w:p>
      <w:pPr>
        <w:pStyle w:val="Compact"/>
        <w:numPr>
          <w:ilvl w:val="0"/>
          <w:numId w:val="1015"/>
        </w:numPr>
      </w:pPr>
      <w:r>
        <w:t xml:space="preserve">KEV hit count (number of SBOM components with active KEV entries)</w:t>
      </w:r>
    </w:p>
    <w:p>
      <w:pPr>
        <w:pStyle w:val="Compact"/>
        <w:numPr>
          <w:ilvl w:val="0"/>
          <w:numId w:val="1015"/>
        </w:numPr>
      </w:pPr>
      <w:r>
        <w:t xml:space="preserve">Days-since-last-VEX-review per product</w:t>
      </w:r>
    </w:p>
    <w:p>
      <w:pPr>
        <w:pStyle w:val="FirstParagraph"/>
      </w:pPr>
      <w:r>
        <w:t xml:space="preserve">KQL analytic rule for KEV breach:</w:t>
      </w:r>
    </w:p>
    <w:p>
      <w:pPr>
        <w:pStyle w:val="SourceCode"/>
      </w:pPr>
      <w:r>
        <w:rPr>
          <w:rStyle w:val="VerbatimChar"/>
        </w:rPr>
        <w:t xml:space="preserve">SBOMVulnerabilities_CL</w:t>
      </w:r>
      <w:r>
        <w:br/>
      </w:r>
      <w:r>
        <w:rPr>
          <w:rStyle w:val="VerbatimChar"/>
        </w:rPr>
        <w:t xml:space="preserve">| where TimeGenerated &gt; ago(1d)</w:t>
      </w:r>
      <w:r>
        <w:br/>
      </w:r>
      <w:r>
        <w:rPr>
          <w:rStyle w:val="VerbatimChar"/>
        </w:rPr>
        <w:t xml:space="preserve">| where kev_listed_b == true</w:t>
      </w:r>
      <w:r>
        <w:br/>
      </w:r>
      <w:r>
        <w:rPr>
          <w:rStyle w:val="VerbatimChar"/>
        </w:rPr>
        <w:t xml:space="preserve">| where vex_status_s in ("affected", "under_investigation")</w:t>
      </w:r>
      <w:r>
        <w:br/>
      </w:r>
      <w:r>
        <w:rPr>
          <w:rStyle w:val="VerbatimChar"/>
        </w:rPr>
        <w:t xml:space="preserve">| where now &gt; kev_due_date_t</w:t>
      </w:r>
      <w:r>
        <w:br/>
      </w:r>
      <w:r>
        <w:rPr>
          <w:rStyle w:val="VerbatimChar"/>
        </w:rPr>
        <w:t xml:space="preserve">| project CVE = cve_id_s, Component = component_name_s,</w:t>
      </w:r>
      <w:r>
        <w:br/>
      </w:r>
      <w:r>
        <w:rPr>
          <w:rStyle w:val="VerbatimChar"/>
        </w:rPr>
        <w:t xml:space="preserve">          CVSS = cvss_score_d, KEVDate = kev_date_added_t, DueDate = kev_due_date_t,</w:t>
      </w:r>
      <w:r>
        <w:br/>
      </w:r>
      <w:r>
        <w:rPr>
          <w:rStyle w:val="VerbatimChar"/>
        </w:rPr>
        <w:t xml:space="preserve">          DaysOverdue = datetime_diff('day', now, kev_due_date_t)</w:t>
      </w:r>
      <w:r>
        <w:br/>
      </w:r>
      <w:r>
        <w:rPr>
          <w:rStyle w:val="VerbatimChar"/>
        </w:rPr>
        <w:t xml:space="preserve">| order by DaysOverdue desc</w:t>
      </w:r>
    </w:p>
    <w:bookmarkEnd w:id="78"/>
    <w:bookmarkStart w:id="79" w:name="evidence-manifest"/>
    <w:p>
      <w:pPr>
        <w:pStyle w:val="Heading2"/>
      </w:pPr>
      <w:r>
        <w:t xml:space="preserve">Evidence Manifest</w:t>
      </w:r>
    </w:p>
    <w:p>
      <w:pPr>
        <w:pStyle w:val="FirstParagraph"/>
      </w:pPr>
      <w:r>
        <w:t xml:space="preserve">Every SBOM generation run produces a signed manifest:</w:t>
      </w:r>
    </w:p>
    <w:p>
      <w:pPr>
        <w:pStyle w:val="SourceCode"/>
      </w:pPr>
      <w:r>
        <w:rPr>
          <w:rStyle w:val="FunctionTok"/>
        </w:rPr>
        <w:t xml:space="preserve">{</w:t>
      </w:r>
      <w:r>
        <w:br/>
      </w:r>
      <w:r>
        <w:rPr>
          <w:rStyle w:val="NormalTok"/>
        </w:rPr>
        <w:t xml:space="preserve">  </w:t>
      </w:r>
      <w:r>
        <w:rPr>
          <w:rStyle w:val="DataTypeTok"/>
        </w:rPr>
        <w:t xml:space="preserve">"manifest_version"</w:t>
      </w:r>
      <w:r>
        <w:rPr>
          <w:rStyle w:val="FunctionTok"/>
        </w:rPr>
        <w:t xml:space="preserve">:</w:t>
      </w:r>
      <w:r>
        <w:rPr>
          <w:rStyle w:val="NormalTok"/>
        </w:rPr>
        <w:t xml:space="preserve"> </w:t>
      </w:r>
      <w:r>
        <w:rPr>
          <w:rStyle w:val="StringTok"/>
        </w:rPr>
        <w:t xml:space="preserve">"1.0"</w:t>
      </w:r>
      <w:r>
        <w:rPr>
          <w:rStyle w:val="FunctionTok"/>
        </w:rPr>
        <w:t xml:space="preserve">,</w:t>
      </w:r>
      <w:r>
        <w:br/>
      </w:r>
      <w:r>
        <w:rPr>
          <w:rStyle w:val="NormalTok"/>
        </w:rPr>
        <w:t xml:space="preserve">  </w:t>
      </w:r>
      <w:r>
        <w:rPr>
          <w:rStyle w:val="DataTypeTok"/>
        </w:rPr>
        <w:t xml:space="preserve">"generated_at"</w:t>
      </w:r>
      <w:r>
        <w:rPr>
          <w:rStyle w:val="FunctionTok"/>
        </w:rPr>
        <w:t xml:space="preserve">:</w:t>
      </w:r>
      <w:r>
        <w:rPr>
          <w:rStyle w:val="NormalTok"/>
        </w:rPr>
        <w:t xml:space="preserve"> </w:t>
      </w:r>
      <w:r>
        <w:rPr>
          <w:rStyle w:val="StringTok"/>
        </w:rPr>
        <w:t xml:space="preserve">"2026-07-03T00:00:00Z"</w:t>
      </w:r>
      <w:r>
        <w:rPr>
          <w:rStyle w:val="FunctionTok"/>
        </w:rPr>
        <w:t xml:space="preserve">,</w:t>
      </w:r>
      <w:r>
        <w:br/>
      </w:r>
      <w:r>
        <w:rPr>
          <w:rStyle w:val="NormalTok"/>
        </w:rPr>
        <w:t xml:space="preserve">  </w:t>
      </w:r>
      <w:r>
        <w:rPr>
          <w:rStyle w:val="DataTypeTok"/>
        </w:rPr>
        <w:t xml:space="preserve">"commit_sha"</w:t>
      </w:r>
      <w:r>
        <w:rPr>
          <w:rStyle w:val="FunctionTok"/>
        </w:rPr>
        <w:t xml:space="preserve">:</w:t>
      </w:r>
      <w:r>
        <w:rPr>
          <w:rStyle w:val="NormalTok"/>
        </w:rPr>
        <w:t xml:space="preserve"> </w:t>
      </w:r>
      <w:r>
        <w:rPr>
          <w:rStyle w:val="StringTok"/>
        </w:rPr>
        <w:t xml:space="preserve">"abc123..."</w:t>
      </w:r>
      <w:r>
        <w:rPr>
          <w:rStyle w:val="FunctionTok"/>
        </w:rPr>
        <w:t xml:space="preserve">,</w:t>
      </w:r>
      <w:r>
        <w:br/>
      </w:r>
      <w:r>
        <w:rPr>
          <w:rStyle w:val="NormalTok"/>
        </w:rPr>
        <w:t xml:space="preserve">  </w:t>
      </w:r>
      <w:r>
        <w:rPr>
          <w:rStyle w:val="DataTypeTok"/>
        </w:rPr>
        <w:t xml:space="preserve">"sbom_hash_sha256"</w:t>
      </w:r>
      <w:r>
        <w:rPr>
          <w:rStyle w:val="FunctionTok"/>
        </w:rPr>
        <w:t xml:space="preserve">:</w:t>
      </w:r>
      <w:r>
        <w:rPr>
          <w:rStyle w:val="NormalTok"/>
        </w:rPr>
        <w:t xml:space="preserve"> </w:t>
      </w:r>
      <w:r>
        <w:rPr>
          <w:rStyle w:val="StringTok"/>
        </w:rPr>
        <w:t xml:space="preserve">"e3b0c44298fc1c149..."</w:t>
      </w:r>
      <w:r>
        <w:rPr>
          <w:rStyle w:val="FunctionTok"/>
        </w:rPr>
        <w:t xml:space="preserve">,</w:t>
      </w:r>
      <w:r>
        <w:br/>
      </w:r>
      <w:r>
        <w:rPr>
          <w:rStyle w:val="NormalTok"/>
        </w:rPr>
        <w:t xml:space="preserve">  </w:t>
      </w:r>
      <w:r>
        <w:rPr>
          <w:rStyle w:val="DataTypeTok"/>
        </w:rPr>
        <w:t xml:space="preserve">"vdr_hash_sha256"</w:t>
      </w:r>
      <w:r>
        <w:rPr>
          <w:rStyle w:val="FunctionTok"/>
        </w:rPr>
        <w:t xml:space="preserve">:</w:t>
      </w:r>
      <w:r>
        <w:rPr>
          <w:rStyle w:val="NormalTok"/>
        </w:rPr>
        <w:t xml:space="preserve"> </w:t>
      </w:r>
      <w:r>
        <w:rPr>
          <w:rStyle w:val="StringTok"/>
        </w:rPr>
        <w:t xml:space="preserve">"a87ff679a2f3e71d9..."</w:t>
      </w:r>
      <w:r>
        <w:rPr>
          <w:rStyle w:val="FunctionTok"/>
        </w:rPr>
        <w:t xml:space="preserve">,</w:t>
      </w:r>
      <w:r>
        <w:br/>
      </w:r>
      <w:r>
        <w:rPr>
          <w:rStyle w:val="NormalTok"/>
        </w:rPr>
        <w:t xml:space="preserve">  </w:t>
      </w:r>
      <w:r>
        <w:rPr>
          <w:rStyle w:val="DataTypeTok"/>
        </w:rPr>
        <w:t xml:space="preserve">"vex_hash_sha256"</w:t>
      </w:r>
      <w:r>
        <w:rPr>
          <w:rStyle w:val="FunctionTok"/>
        </w:rPr>
        <w:t xml:space="preserve">:</w:t>
      </w:r>
      <w:r>
        <w:rPr>
          <w:rStyle w:val="NormalTok"/>
        </w:rPr>
        <w:t xml:space="preserve"> </w:t>
      </w:r>
      <w:r>
        <w:rPr>
          <w:rStyle w:val="StringTok"/>
        </w:rPr>
        <w:t xml:space="preserve">"1679091c5a880faf6..."</w:t>
      </w:r>
      <w:r>
        <w:rPr>
          <w:rStyle w:val="FunctionTok"/>
        </w:rPr>
        <w:t xml:space="preserve">,</w:t>
      </w:r>
      <w:r>
        <w:br/>
      </w:r>
      <w:r>
        <w:rPr>
          <w:rStyle w:val="NormalTok"/>
        </w:rPr>
        <w:t xml:space="preserve">  </w:t>
      </w:r>
      <w:r>
        <w:rPr>
          <w:rStyle w:val="DataTypeTok"/>
        </w:rPr>
        <w:t xml:space="preserve">"component_count"</w:t>
      </w:r>
      <w:r>
        <w:rPr>
          <w:rStyle w:val="FunctionTok"/>
        </w:rPr>
        <w:t xml:space="preserve">:</w:t>
      </w:r>
      <w:r>
        <w:rPr>
          <w:rStyle w:val="NormalTok"/>
        </w:rPr>
        <w:t xml:space="preserve"> </w:t>
      </w:r>
      <w:r>
        <w:rPr>
          <w:rStyle w:val="DecValTok"/>
        </w:rPr>
        <w:t xml:space="preserve">312</w:t>
      </w:r>
      <w:r>
        <w:rPr>
          <w:rStyle w:val="FunctionTok"/>
        </w:rPr>
        <w:t xml:space="preserve">,</w:t>
      </w:r>
      <w:r>
        <w:br/>
      </w:r>
      <w:r>
        <w:rPr>
          <w:rStyle w:val="NormalTok"/>
        </w:rPr>
        <w:t xml:space="preserve">  </w:t>
      </w:r>
      <w:r>
        <w:rPr>
          <w:rStyle w:val="DataTypeTok"/>
        </w:rPr>
        <w:t xml:space="preserve">"cve_count_critical"</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"cve_count_high"</w:t>
      </w:r>
      <w:r>
        <w:rPr>
          <w:rStyle w:val="FunctionTok"/>
        </w:rPr>
        <w:t xml:space="preserve">:</w:t>
      </w:r>
      <w:r>
        <w:rPr>
          <w:rStyle w:val="NormalTok"/>
        </w:rPr>
        <w:t xml:space="preserve"> </w:t>
      </w:r>
      <w:r>
        <w:rPr>
          <w:rStyle w:val="DecValTok"/>
        </w:rPr>
        <w:t xml:space="preserve">3</w:t>
      </w:r>
      <w:r>
        <w:rPr>
          <w:rStyle w:val="FunctionTok"/>
        </w:rPr>
        <w:t xml:space="preserve">,</w:t>
      </w:r>
      <w:r>
        <w:br/>
      </w:r>
      <w:r>
        <w:rPr>
          <w:rStyle w:val="NormalTok"/>
        </w:rPr>
        <w:t xml:space="preserve">  </w:t>
      </w:r>
      <w:r>
        <w:rPr>
          <w:rStyle w:val="DataTypeTok"/>
        </w:rPr>
        <w:t xml:space="preserve">"kev_hits"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"slsa_level"</w:t>
      </w:r>
      <w:r>
        <w:rPr>
          <w:rStyle w:val="FunctionTok"/>
        </w:rPr>
        <w:t xml:space="preserve">:</w:t>
      </w:r>
      <w:r>
        <w:rPr>
          <w:rStyle w:val="NormalTok"/>
        </w:rPr>
        <w:t xml:space="preserve"> </w:t>
      </w:r>
      <w:r>
        <w:rPr>
          <w:rStyle w:val="DecValTok"/>
        </w:rPr>
        <w:t xml:space="preserve">2</w:t>
      </w:r>
      <w:r>
        <w:rPr>
          <w:rStyle w:val="FunctionTok"/>
        </w:rPr>
        <w:t xml:space="preserve">,</w:t>
      </w:r>
      <w:r>
        <w:br/>
      </w:r>
      <w:r>
        <w:rPr>
          <w:rStyle w:val="NormalTok"/>
        </w:rPr>
        <w:t xml:space="preserve">  </w:t>
      </w:r>
      <w:r>
        <w:rPr>
          <w:rStyle w:val="DataTypeTok"/>
        </w:rPr>
        <w:t xml:space="preserve">"slsa_provenance_url"</w:t>
      </w:r>
      <w:r>
        <w:rPr>
          <w:rStyle w:val="FunctionTok"/>
        </w:rPr>
        <w:t xml:space="preserve">:</w:t>
      </w:r>
      <w:r>
        <w:rPr>
          <w:rStyle w:val="NormalTok"/>
        </w:rPr>
        <w:t xml:space="preserve"> </w:t>
      </w:r>
      <w:r>
        <w:rPr>
          <w:rStyle w:val="StringTok"/>
        </w:rPr>
        <w:t xml:space="preserve">"</w:t>
      </w:r>
      <w:r>
        <w:br/>
      </w:r>
      <w:r>
        <w:rPr>
          <w:rStyle w:val="StringTok"/>
        </w:rPr>
        <w:t xml:space="preserve">  "</w:t>
      </w:r>
      <w:r>
        <w:rPr>
          <w:rStyle w:val="ErrorTok"/>
        </w:rPr>
        <w:t xml:space="preserve">storage_uri</w:t>
      </w:r>
      <w:r>
        <w:rPr>
          <w:rStyle w:val="StringTok"/>
        </w:rPr>
        <w:t xml:space="preserve">": "</w:t>
      </w:r>
      <w:r>
        <w:rPr>
          <w:rStyle w:val="ErrorTok"/>
        </w:rPr>
        <w:t xml:space="preserve">https://sbomarchive.blob.core.windows.net/sbom-archive/</w:t>
      </w:r>
      <w:r>
        <w:rPr>
          <w:rStyle w:val="DecValTok"/>
        </w:rPr>
        <w:t xml:space="preserve">2026</w:t>
      </w:r>
      <w:r>
        <w:rPr>
          <w:rStyle w:val="ErrorTok"/>
        </w:rPr>
        <w:t xml:space="preserve">/07/03/sbom-abc123.xml</w:t>
      </w:r>
      <w:r>
        <w:rPr>
          <w:rStyle w:val="StringTok"/>
        </w:rPr>
        <w:t xml:space="preserve">"</w:t>
      </w:r>
      <w:r>
        <w:br/>
      </w:r>
      <w:r>
        <w:rPr>
          <w:rStyle w:val="StringTok"/>
        </w:rPr>
        <w:t xml:space="preserve">}</w:t>
      </w:r>
    </w:p>
    <w:p>
      <w:r>
        <w:pict>
          <v:rect style="width:0;height:1.5pt" o:hralign="center" o:hrstd="t" o:hr="t"/>
        </w:pict>
      </w:r>
    </w:p>
    <w:bookmarkEnd w:id="79"/>
    <w:bookmarkEnd w:id="80"/>
    <w:bookmarkStart w:id="81" w:name="implementation-checklist"/>
    <w:p>
      <w:pPr>
        <w:pStyle w:val="Heading1"/>
      </w:pPr>
      <w:r>
        <w:t xml:space="preserve">Implementation Checklist</w:t>
      </w:r>
    </w:p>
    <w:p>
      <w:pPr>
        <w:pStyle w:val="TableCaption"/>
      </w:pPr>
      <w:r>
        <w:t xml:space="preserve">Vol IV Book 02 — Implementation Checklist</w:t>
      </w:r>
    </w:p>
    <w:tbl>
      <w:tblPr>
        <w:tblStyle w:val="Table"/>
        <w:tblW w:type="pct" w:w="5000"/>
        <w:tblLayout w:type="fixed"/>
        <w:tblLook w:firstRow="1" w:lastRow="0" w:firstColumn="0" w:lastColumn="0" w:noHBand="0" w:noVBand="0" w:val="0020"/>
        <w:tblCaption w:val="Vol IV Book 02 — Implementation Checklist"/>
      </w:tblPr>
      <w:tblGrid>
        <w:gridCol w:w="1980"/>
        <w:gridCol w:w="1980"/>
        <w:gridCol w:w="1980"/>
        <w:gridCol w:w="1980"/>
      </w:tblGrid>
      <w:tr>
        <w:trPr>
          <w:tblHeader w:val="on"/>
        </w:trPr>
        <w:tc>
          <w:tcPr/>
          <w:p>
            <w:pPr>
              <w:pStyle w:val="Compact"/>
            </w:pPr>
            <w:r>
              <w:t xml:space="preserve">Phase</w:t>
            </w:r>
          </w:p>
        </w:tc>
        <w:tc>
          <w:tcPr/>
          <w:p>
            <w:pPr>
              <w:pStyle w:val="Compact"/>
            </w:pPr>
            <w:r>
              <w:t xml:space="preserve">Action</w:t>
            </w:r>
          </w:p>
        </w:tc>
        <w:tc>
          <w:tcPr/>
          <w:p>
            <w:pPr>
              <w:pStyle w:val="Compact"/>
            </w:pPr>
            <w:r>
              <w:t xml:space="preserve">Owner</w:t>
            </w:r>
          </w:p>
        </w:tc>
        <w:tc>
          <w:tcPr/>
          <w:p>
            <w:pPr>
              <w:pStyle w:val="Compact"/>
            </w:pPr>
            <w:r>
              <w:t xml:space="preserve">Target</w:t>
            </w:r>
          </w:p>
        </w:tc>
      </w:tr>
      <w:tr>
        <w:tc>
          <w:tcPr/>
          <w:p>
            <w:pPr>
              <w:pStyle w:val="Compact"/>
            </w:pPr>
            <w:r>
              <w:rPr>
                <w:b/>
                <w:bCs/>
              </w:rPr>
              <w:t xml:space="preserve">Immediate</w:t>
            </w:r>
          </w:p>
        </w:tc>
        <w:tc>
          <w:tcPr/>
          <w:p>
            <w:pPr>
              <w:pStyle w:val="Compact"/>
            </w:pPr>
            <w:r>
              <w:t xml:space="preserve">Install Syft and Grype in GitHub Actions CI</w:t>
            </w:r>
          </w:p>
        </w:tc>
        <w:tc>
          <w:tcPr/>
          <w:p>
            <w:pPr>
              <w:pStyle w:val="Compact"/>
            </w:pPr>
            <w:r>
              <w:t xml:space="preserve">DevOps</w:t>
            </w:r>
          </w:p>
        </w:tc>
        <w:tc>
          <w:tcPr/>
          <w:p>
            <w:pPr>
              <w:pStyle w:val="Compact"/>
            </w:pPr>
            <w:r>
              <w:t xml:space="preserve">Jul 2026</w:t>
            </w:r>
          </w:p>
        </w:tc>
      </w:tr>
      <w:tr>
        <w:tc>
          <w:tcPr/>
          <w:p>
            <w:pPr>
              <w:pStyle w:val="Compact"/>
            </w:pPr>
            <w:r>
              <w:rPr>
                <w:b/>
                <w:bCs/>
              </w:rPr>
              <w:t xml:space="preserve">Immediate</w:t>
            </w:r>
          </w:p>
        </w:tc>
        <w:tc>
          <w:tcPr/>
          <w:p>
            <w:pPr>
              <w:pStyle w:val="Compact"/>
            </w:pPr>
            <w:r>
              <w:t xml:space="preserve">Generate initial SBOM for all production repos</w:t>
            </w:r>
          </w:p>
        </w:tc>
        <w:tc>
          <w:tcPr/>
          <w:p>
            <w:pPr>
              <w:pStyle w:val="Compact"/>
            </w:pPr>
            <w:r>
              <w:t xml:space="preserve">DevOps</w:t>
            </w:r>
          </w:p>
        </w:tc>
        <w:tc>
          <w:tcPr/>
          <w:p>
            <w:pPr>
              <w:pStyle w:val="Compact"/>
            </w:pPr>
            <w:r>
              <w:t xml:space="preserve">Jul 2026</w:t>
            </w:r>
          </w:p>
        </w:tc>
      </w:tr>
      <w:tr>
        <w:tc>
          <w:tcPr/>
          <w:p>
            <w:pPr>
              <w:pStyle w:val="Compact"/>
            </w:pPr>
            <w:r>
              <w:rPr>
                <w:b/>
                <w:bCs/>
              </w:rPr>
              <w:t xml:space="preserve">Immediate</w:t>
            </w:r>
          </w:p>
        </w:tc>
        <w:tc>
          <w:tcPr/>
          <w:p>
            <w:pPr>
              <w:pStyle w:val="Compact"/>
            </w:pPr>
            <w:r>
              <w:t xml:space="preserve">Register with MSRC, Cisco PSIRT, Infoblox security portals</w:t>
            </w:r>
          </w:p>
        </w:tc>
        <w:tc>
          <w:tcPr/>
          <w:p>
            <w:pPr>
              <w:pStyle w:val="Compact"/>
            </w:pPr>
            <w:r>
              <w:t xml:space="preserve">ISSO</w:t>
            </w:r>
          </w:p>
        </w:tc>
        <w:tc>
          <w:tcPr/>
          <w:p>
            <w:pPr>
              <w:pStyle w:val="Compact"/>
            </w:pPr>
            <w:r>
              <w:t xml:space="preserve">Jul 2026</w:t>
            </w:r>
          </w:p>
        </w:tc>
      </w:tr>
      <w:tr>
        <w:tc>
          <w:tcPr/>
          <w:p>
            <w:pPr>
              <w:pStyle w:val="Compact"/>
            </w:pPr>
            <w:r>
              <w:rPr>
                <w:b/>
                <w:bCs/>
              </w:rPr>
              <w:t xml:space="preserve">Phase 1</w:t>
            </w:r>
          </w:p>
        </w:tc>
        <w:tc>
          <w:tcPr/>
          <w:p>
            <w:pPr>
              <w:pStyle w:val="Compact"/>
            </w:pPr>
            <w:r>
              <w:t xml:space="preserve">Author initial VEX for all critical/high CVEs</w:t>
            </w:r>
          </w:p>
        </w:tc>
        <w:tc>
          <w:tcPr/>
          <w:p>
            <w:pPr>
              <w:pStyle w:val="Compact"/>
            </w:pPr>
            <w:r>
              <w:t xml:space="preserve">Security Team</w:t>
            </w:r>
          </w:p>
        </w:tc>
        <w:tc>
          <w:tcPr/>
          <w:p>
            <w:pPr>
              <w:pStyle w:val="Compact"/>
            </w:pPr>
            <w:r>
              <w:t xml:space="preserve">Aug 2026</w:t>
            </w:r>
          </w:p>
        </w:tc>
      </w:tr>
      <w:tr>
        <w:tc>
          <w:tcPr/>
          <w:p>
            <w:pPr>
              <w:pStyle w:val="Compact"/>
            </w:pPr>
            <w:r>
              <w:rPr>
                <w:b/>
                <w:bCs/>
              </w:rPr>
              <w:t xml:space="preserve">Phase 1</w:t>
            </w:r>
          </w:p>
        </w:tc>
        <w:tc>
          <w:tcPr/>
          <w:p>
            <w:pPr>
              <w:pStyle w:val="Compact"/>
            </w:pPr>
            <w:r>
              <w:t xml:space="preserve">Publish SBOM + VDR to the agency evidence repository (test run)</w:t>
            </w:r>
          </w:p>
        </w:tc>
        <w:tc>
          <w:tcPr/>
          <w:p>
            <w:pPr>
              <w:pStyle w:val="Compact"/>
            </w:pPr>
            <w:r>
              <w:t xml:space="preserve">ISSO</w:t>
            </w:r>
          </w:p>
        </w:tc>
        <w:tc>
          <w:tcPr/>
          <w:p>
            <w:pPr>
              <w:pStyle w:val="Compact"/>
            </w:pPr>
            <w:r>
              <w:t xml:space="preserve">Aug 2026</w:t>
            </w:r>
          </w:p>
        </w:tc>
      </w:tr>
      <w:tr>
        <w:tc>
          <w:tcPr/>
          <w:p>
            <w:pPr>
              <w:pStyle w:val="Compact"/>
            </w:pPr>
            <w:r>
              <w:rPr>
                <w:b/>
                <w:bCs/>
              </w:rPr>
              <w:t xml:space="preserve">Phase 1</w:t>
            </w:r>
          </w:p>
        </w:tc>
        <w:tc>
          <w:tcPr/>
          <w:p>
            <w:pPr>
              <w:pStyle w:val="Compact"/>
            </w:pPr>
            <w:r>
              <w:t xml:space="preserve">Update acquisition policy to require SBOM from suppliers</w:t>
            </w:r>
          </w:p>
        </w:tc>
        <w:tc>
          <w:tcPr/>
          <w:p>
            <w:pPr>
              <w:pStyle w:val="Compact"/>
            </w:pPr>
            <w:r>
              <w:t xml:space="preserve">Contracting</w:t>
            </w:r>
          </w:p>
        </w:tc>
        <w:tc>
          <w:tcPr/>
          <w:p>
            <w:pPr>
              <w:pStyle w:val="Compact"/>
            </w:pPr>
            <w:r>
              <w:t xml:space="preserve">Sep 2026</w:t>
            </w:r>
          </w:p>
        </w:tc>
      </w:tr>
      <w:tr>
        <w:tc>
          <w:tcPr/>
          <w:p>
            <w:pPr>
              <w:pStyle w:val="Compact"/>
            </w:pPr>
            <w:r>
              <w:rPr>
                <w:b/>
                <w:bCs/>
              </w:rPr>
              <w:t xml:space="preserve">Phase 2</w:t>
            </w:r>
          </w:p>
        </w:tc>
        <w:tc>
          <w:tcPr/>
          <w:p>
            <w:pPr>
              <w:pStyle w:val="Compact"/>
            </w:pPr>
            <w:r>
              <w:t xml:space="preserve">Achieve SLSA Level 2 for all production release workflows</w:t>
            </w:r>
          </w:p>
        </w:tc>
        <w:tc>
          <w:tcPr/>
          <w:p>
            <w:pPr>
              <w:pStyle w:val="Compact"/>
            </w:pPr>
            <w:r>
              <w:t xml:space="preserve">DevOps</w:t>
            </w:r>
          </w:p>
        </w:tc>
        <w:tc>
          <w:tcPr/>
          <w:p>
            <w:pPr>
              <w:pStyle w:val="Compact"/>
            </w:pPr>
            <w:r>
              <w:t xml:space="preserve">Oct 2026</w:t>
            </w:r>
          </w:p>
        </w:tc>
      </w:tr>
      <w:tr>
        <w:tc>
          <w:tcPr/>
          <w:p>
            <w:pPr>
              <w:pStyle w:val="Compact"/>
            </w:pPr>
            <w:r>
              <w:rPr>
                <w:b/>
                <w:bCs/>
              </w:rPr>
              <w:t xml:space="preserve">Phase 3</w:t>
            </w:r>
          </w:p>
        </w:tc>
        <w:tc>
          <w:tcPr/>
          <w:p>
            <w:pPr>
              <w:pStyle w:val="Compact"/>
            </w:pPr>
            <w:r>
              <w:t xml:space="preserve">Complete VEX quarterly review cycle</w:t>
            </w:r>
          </w:p>
        </w:tc>
        <w:tc>
          <w:tcPr/>
          <w:p>
            <w:pPr>
              <w:pStyle w:val="Compact"/>
            </w:pPr>
            <w:r>
              <w:t xml:space="preserve">Security Team</w:t>
            </w:r>
          </w:p>
        </w:tc>
        <w:tc>
          <w:tcPr/>
          <w:p>
            <w:pPr>
              <w:pStyle w:val="Compact"/>
            </w:pPr>
            <w:r>
              <w:t xml:space="preserve">Nov 2026</w:t>
            </w:r>
          </w:p>
        </w:tc>
      </w:tr>
      <w:tr>
        <w:tc>
          <w:tcPr/>
          <w:p>
            <w:pPr>
              <w:pStyle w:val="Compact"/>
            </w:pPr>
            <w:r>
              <w:rPr>
                <w:b/>
                <w:bCs/>
              </w:rPr>
              <w:t xml:space="preserve">Phase 4</w:t>
            </w:r>
          </w:p>
        </w:tc>
        <w:tc>
          <w:tcPr/>
          <w:p>
            <w:pPr>
              <w:pStyle w:val="Compact"/>
            </w:pPr>
            <w:r>
              <w:t xml:space="preserve">Final FedRAMP VDR/VER submission (NTC-0014); BOD 26-04 remediation SLAs in force</w:t>
            </w:r>
          </w:p>
        </w:tc>
        <w:tc>
          <w:tcPr/>
          <w:p>
            <w:pPr>
              <w:pStyle w:val="Compact"/>
            </w:pPr>
            <w:r>
              <w:t xml:space="preserve">ISSO</w:t>
            </w:r>
          </w:p>
        </w:tc>
        <w:tc>
          <w:tcPr/>
          <w:p>
            <w:pPr>
              <w:pStyle w:val="Compact"/>
            </w:pPr>
            <w:r>
              <w:t xml:space="preserve">Dec 7, 2026</w:t>
            </w:r>
          </w:p>
        </w:tc>
      </w:tr>
    </w:tbl>
    <w:p>
      <w:r>
        <w:pict>
          <v:rect style="width:0;height:1.5pt" o:hralign="center" o:hrstd="t" o:hr="t"/>
        </w:pict>
      </w:r>
    </w:p>
    <w:bookmarkEnd w:id="81"/>
    <w:bookmarkStart w:id="82" w:name="technology-stack-summary"/>
    <w:p>
      <w:pPr>
        <w:pStyle w:val="Heading1"/>
      </w:pPr>
      <w:r>
        <w:t xml:space="preserve">Technology Stack Summary</w:t>
      </w:r>
    </w:p>
    <w:p>
      <w:pPr>
        <w:pStyle w:val="TableCaption"/>
      </w:pPr>
      <w:r>
        <w:t xml:space="preserve">Vol IV Book 02 — Technology Stack</w:t>
      </w:r>
    </w:p>
    <w:tbl>
      <w:tblPr>
        <w:tblStyle w:val="Table"/>
        <w:tblW w:type="pct" w:w="5000"/>
        <w:tblLayout w:type="fixed"/>
        <w:tblLook w:firstRow="1" w:lastRow="0" w:firstColumn="0" w:lastColumn="0" w:noHBand="0" w:noVBand="0" w:val="0020"/>
        <w:tblCaption w:val="Vol IV Book 02 — Technology Stack"/>
      </w:tblPr>
      <w:tblGrid>
        <w:gridCol w:w="1980"/>
        <w:gridCol w:w="1980"/>
        <w:gridCol w:w="1980"/>
        <w:gridCol w:w="1980"/>
      </w:tblGrid>
      <w:tr>
        <w:trPr>
          <w:tblHeader w:val="on"/>
        </w:trPr>
        <w:tc>
          <w:tcPr/>
          <w:p>
            <w:pPr>
              <w:pStyle w:val="Compact"/>
            </w:pPr>
            <w:r>
              <w:t xml:space="preserve">Component</w:t>
            </w:r>
          </w:p>
        </w:tc>
        <w:tc>
          <w:tcPr/>
          <w:p>
            <w:pPr>
              <w:pStyle w:val="Compact"/>
            </w:pPr>
            <w:r>
              <w:t xml:space="preserve">Tool</w:t>
            </w:r>
          </w:p>
        </w:tc>
        <w:tc>
          <w:tcPr/>
          <w:p>
            <w:pPr>
              <w:pStyle w:val="Compact"/>
            </w:pPr>
            <w:r>
              <w:t xml:space="preserve">Format</w:t>
            </w:r>
          </w:p>
        </w:tc>
        <w:tc>
          <w:tcPr/>
          <w:p>
            <w:pPr>
              <w:pStyle w:val="Compact"/>
            </w:pPr>
            <w:r>
              <w:t xml:space="preserve">Standard</w:t>
            </w:r>
          </w:p>
        </w:tc>
      </w:tr>
      <w:tr>
        <w:tc>
          <w:tcPr/>
          <w:p>
            <w:pPr>
              <w:pStyle w:val="Compact"/>
            </w:pPr>
            <w:r>
              <w:t xml:space="preserve">SBOM Generation</w:t>
            </w:r>
          </w:p>
        </w:tc>
        <w:tc>
          <w:tcPr/>
          <w:p>
            <w:pPr>
              <w:pStyle w:val="Compact"/>
            </w:pPr>
            <w:r>
              <w:t xml:space="preserve">Syft (Anchore)</w:t>
            </w:r>
          </w:p>
        </w:tc>
        <w:tc>
          <w:tcPr/>
          <w:p>
            <w:pPr>
              <w:pStyle w:val="Compact"/>
            </w:pPr>
            <w:r>
              <w:t xml:space="preserve">CycloneDX 1.6 XML</w:t>
            </w:r>
          </w:p>
        </w:tc>
        <w:tc>
          <w:tcPr/>
          <w:p>
            <w:pPr>
              <w:pStyle w:val="Compact"/>
            </w:pPr>
            <w:r>
              <w:t xml:space="preserve">NTIA minimum elements; CISA preferred</w:t>
            </w:r>
          </w:p>
        </w:tc>
      </w:tr>
      <w:tr>
        <w:tc>
          <w:tcPr/>
          <w:p>
            <w:pPr>
              <w:pStyle w:val="Compact"/>
            </w:pPr>
            <w:r>
              <w:t xml:space="preserve">Vulnerability Scan</w:t>
            </w:r>
          </w:p>
        </w:tc>
        <w:tc>
          <w:tcPr/>
          <w:p>
            <w:pPr>
              <w:pStyle w:val="Compact"/>
            </w:pPr>
            <w:r>
              <w:t xml:space="preserve">Grype (Anchore)</w:t>
            </w:r>
          </w:p>
        </w:tc>
        <w:tc>
          <w:tcPr/>
          <w:p>
            <w:pPr>
              <w:pStyle w:val="Compact"/>
            </w:pPr>
            <w:r>
              <w:t xml:space="preserve">CycloneDX VDR</w:t>
            </w:r>
          </w:p>
        </w:tc>
        <w:tc>
          <w:tcPr/>
          <w:p>
            <w:pPr>
              <w:pStyle w:val="Compact"/>
            </w:pPr>
            <w:r>
              <w:t xml:space="preserve">NVD CVE data; CVSS 3.1</w:t>
            </w:r>
          </w:p>
        </w:tc>
      </w:tr>
      <w:tr>
        <w:tc>
          <w:tcPr/>
          <w:p>
            <w:pPr>
              <w:pStyle w:val="Compact"/>
            </w:pPr>
            <w:r>
              <w:t xml:space="preserve">VEX Authoring</w:t>
            </w:r>
          </w:p>
        </w:tc>
        <w:tc>
          <w:tcPr/>
          <w:p>
            <w:pPr>
              <w:pStyle w:val="Compact"/>
            </w:pPr>
            <w:r>
              <w:t xml:space="preserve">OpenVEX CLI</w:t>
            </w:r>
          </w:p>
        </w:tc>
        <w:tc>
          <w:tcPr/>
          <w:p>
            <w:pPr>
              <w:pStyle w:val="Compact"/>
            </w:pPr>
            <w:r>
              <w:t xml:space="preserve">OpenVEX JSON</w:t>
            </w:r>
          </w:p>
        </w:tc>
        <w:tc>
          <w:tcPr/>
          <w:p>
            <w:pPr>
              <w:pStyle w:val="Compact"/>
            </w:pPr>
            <w:r>
              <w:t xml:space="preserve">CISA VEX format; submitted via VEX Portal</w:t>
            </w:r>
          </w:p>
        </w:tc>
      </w:tr>
      <w:tr>
        <w:tc>
          <w:tcPr/>
          <w:p>
            <w:pPr>
              <w:pStyle w:val="Compact"/>
            </w:pPr>
            <w:r>
              <w:t xml:space="preserve">Container Signing</w:t>
            </w:r>
          </w:p>
        </w:tc>
        <w:tc>
          <w:tcPr/>
          <w:p>
            <w:pPr>
              <w:pStyle w:val="Compact"/>
            </w:pPr>
            <w:r>
              <w:t xml:space="preserve">Cosign (sigstore)</w:t>
            </w:r>
          </w:p>
        </w:tc>
        <w:tc>
          <w:tcPr/>
          <w:p>
            <w:pPr>
              <w:pStyle w:val="Compact"/>
            </w:pPr>
            <w:r>
              <w:t xml:space="preserve">OCI attestation</w:t>
            </w:r>
          </w:p>
        </w:tc>
        <w:tc>
          <w:tcPr/>
          <w:p>
            <w:pPr>
              <w:pStyle w:val="Compact"/>
            </w:pPr>
            <w:r>
              <w:t xml:space="preserve">SLSA provenance</w:t>
            </w:r>
          </w:p>
        </w:tc>
      </w:tr>
      <w:tr>
        <w:tc>
          <w:tcPr/>
          <w:p>
            <w:pPr>
              <w:pStyle w:val="Compact"/>
            </w:pPr>
            <w:r>
              <w:t xml:space="preserve">CI Integration</w:t>
            </w:r>
          </w:p>
        </w:tc>
        <w:tc>
          <w:tcPr/>
          <w:p>
            <w:pPr>
              <w:pStyle w:val="Compact"/>
            </w:pPr>
            <w:r>
              <w:t xml:space="preserve">GitHub Actions</w:t>
            </w:r>
          </w:p>
        </w:tc>
        <w:tc>
          <w:tcPr/>
          <w:p>
            <w:pPr>
              <w:pStyle w:val="Compact"/>
            </w:pPr>
            <w:r>
              <w:t xml:space="preserve">YAML workflow</w:t>
            </w:r>
          </w:p>
        </w:tc>
        <w:tc>
          <w:tcPr/>
          <w:p>
            <w:pPr>
              <w:pStyle w:val="Compact"/>
            </w:pPr>
            <w:r>
              <w:t xml:space="preserve">SLSA Level 2 build</w:t>
            </w:r>
          </w:p>
        </w:tc>
      </w:tr>
      <w:tr>
        <w:tc>
          <w:tcPr/>
          <w:p>
            <w:pPr>
              <w:pStyle w:val="Compact"/>
            </w:pPr>
            <w:r>
              <w:t xml:space="preserve">Archive Storage</w:t>
            </w:r>
          </w:p>
        </w:tc>
        <w:tc>
          <w:tcPr/>
          <w:p>
            <w:pPr>
              <w:pStyle w:val="Compact"/>
            </w:pPr>
            <w:r>
              <w:t xml:space="preserve">Azure Blob immutable tier</w:t>
            </w:r>
          </w:p>
        </w:tc>
        <w:tc>
          <w:tcPr/>
          <w:p>
            <w:pPr>
              <w:pStyle w:val="Compact"/>
            </w:pPr>
            <w:r>
              <w:t xml:space="preserve">Archive tier</w:t>
            </w:r>
          </w:p>
        </w:tc>
        <w:tc>
          <w:tcPr/>
          <w:p>
            <w:pPr>
              <w:pStyle w:val="Compact"/>
            </w:pPr>
            <w:r>
              <w:t xml:space="preserve">7-year NARA retention</w:t>
            </w:r>
          </w:p>
        </w:tc>
      </w:tr>
      <w:tr>
        <w:tc>
          <w:tcPr/>
          <w:p>
            <w:pPr>
              <w:pStyle w:val="Compact"/>
            </w:pPr>
            <w:r>
              <w:t xml:space="preserve">Monitoring</w:t>
            </w:r>
          </w:p>
        </w:tc>
        <w:tc>
          <w:tcPr/>
          <w:p>
            <w:pPr>
              <w:pStyle w:val="Compact"/>
            </w:pPr>
            <w:r>
              <w:t xml:space="preserve">Microsoft Sentinel (Vol III Book 06)</w:t>
            </w:r>
          </w:p>
        </w:tc>
        <w:tc>
          <w:tcPr/>
          <w:p>
            <w:pPr>
              <w:pStyle w:val="Compact"/>
            </w:pPr>
            <w:r>
              <w:t xml:space="preserve">KQL analytics</w:t>
            </w:r>
          </w:p>
        </w:tc>
        <w:tc>
          <w:tcPr/>
          <w:p>
            <w:pPr>
              <w:pStyle w:val="Compact"/>
            </w:pPr>
            <w:r>
              <w:t xml:space="preserve">KSI-MLA evidence chain</w:t>
            </w:r>
          </w:p>
        </w:tc>
      </w:tr>
      <w:tr>
        <w:tc>
          <w:tcPr/>
          <w:p>
            <w:pPr>
              <w:pStyle w:val="Compact"/>
            </w:pPr>
            <w:r>
              <w:t xml:space="preserve">KEV Integration</w:t>
            </w:r>
          </w:p>
        </w:tc>
        <w:tc>
          <w:tcPr/>
          <w:p>
            <w:pPr>
              <w:pStyle w:val="Compact"/>
            </w:pPr>
            <w:r>
              <w:t xml:space="preserve">CISA KEV JSON feed</w:t>
            </w:r>
          </w:p>
        </w:tc>
        <w:tc>
          <w:tcPr/>
          <w:p>
            <w:pPr>
              <w:pStyle w:val="Compact"/>
            </w:pPr>
            <w:r>
              <w:t xml:space="preserve">JSON</w:t>
            </w:r>
          </w:p>
        </w:tc>
        <w:tc>
          <w:tcPr/>
          <w:p>
            <w:pPr>
              <w:pStyle w:val="Compact"/>
            </w:pPr>
            <w:r>
              <w:t xml:space="preserve">BOD 26-04 14-day SLA</w:t>
            </w:r>
          </w:p>
        </w:tc>
      </w:tr>
    </w:tbl>
    <w:p>
      <w:r>
        <w:pict>
          <v:rect style="width:0;height:1.5pt" o:hralign="center" o:hrstd="t" o:hr="t"/>
        </w:pict>
      </w:r>
    </w:p>
    <w:bookmarkEnd w:id="82"/>
    <w:bookmarkStart w:id="85" w:name="references"/>
    <w:p>
      <w:pPr>
        <w:pStyle w:val="Heading1"/>
      </w:pPr>
      <w:r>
        <w:t xml:space="preserve">References</w:t>
      </w:r>
    </w:p>
    <w:p>
      <w:pPr>
        <w:pStyle w:val="TableCaption"/>
      </w:pPr>
      <w:r>
        <w:t xml:space="preserve">Reference Documents</w:t>
      </w:r>
    </w:p>
    <w:tbl>
      <w:tblPr>
        <w:tblStyle w:val="Table"/>
        <w:tblW w:type="pct" w:w="5000"/>
        <w:tblLayout w:type="fixed"/>
        <w:tblLook w:firstRow="1" w:lastRow="0" w:firstColumn="0" w:lastColumn="0" w:noHBand="0" w:noVBand="0" w:val="0020"/>
        <w:tblCaption w:val="Reference Documents"/>
      </w:tblPr>
      <w:tblGrid>
        <w:gridCol w:w="3960"/>
        <w:gridCol w:w="3960"/>
      </w:tblGrid>
      <w:tr>
        <w:trPr>
          <w:tblHeader w:val="on"/>
        </w:trPr>
        <w:tc>
          <w:tcPr/>
          <w:p>
            <w:pPr>
              <w:pStyle w:val="Compact"/>
            </w:pPr>
            <w:r>
              <w:t xml:space="preserve">Document</w:t>
            </w:r>
          </w:p>
        </w:tc>
        <w:tc>
          <w:tcPr/>
          <w:p>
            <w:pPr>
              <w:pStyle w:val="Compact"/>
            </w:pPr>
            <w:r>
              <w:t xml:space="preserve">Relevance</w:t>
            </w:r>
          </w:p>
        </w:tc>
      </w:tr>
      <w:tr>
        <w:tc>
          <w:tcPr/>
          <w:p>
            <w:pPr>
              <w:pStyle w:val="Compact"/>
            </w:pPr>
            <w:r>
              <w:t xml:space="preserve">EO 14028 — Improving the Nation’s Cybersecurity (May 2021)</w:t>
            </w:r>
          </w:p>
        </w:tc>
        <w:tc>
          <w:tcPr/>
          <w:p>
            <w:pPr>
              <w:pStyle w:val="Compact"/>
            </w:pPr>
            <w:r>
              <w:t xml:space="preserve">Mandates SBOM for software sold to the federal government</w:t>
            </w:r>
          </w:p>
        </w:tc>
      </w:tr>
      <w:tr>
        <w:tc>
          <w:tcPr/>
          <w:p>
            <w:pPr>
              <w:pStyle w:val="Compact"/>
            </w:pPr>
            <w:r>
              <w:t xml:space="preserve">NIST SP 800-161r1 — Supply Chain Risk Management</w:t>
            </w:r>
          </w:p>
        </w:tc>
        <w:tc>
          <w:tcPr/>
          <w:p>
            <w:pPr>
              <w:pStyle w:val="Compact"/>
            </w:pPr>
            <w:r>
              <w:t xml:space="preserve">Normative reference for SR family controls</w:t>
            </w:r>
          </w:p>
        </w:tc>
      </w:tr>
      <w:tr>
        <w:tc>
          <w:tcPr/>
          <w:p>
            <w:pPr>
              <w:pStyle w:val="Compact"/>
            </w:pPr>
            <w:r>
              <w:t xml:space="preserve">CISA BOD 26-04 (June 2026)</w:t>
            </w:r>
          </w:p>
        </w:tc>
        <w:tc>
          <w:tcPr/>
          <w:p>
            <w:pPr>
              <w:pStyle w:val="Compact"/>
            </w:pPr>
            <w:r>
              <w:t xml:space="preserve">Risk-tiered remediation timelines (3/14/60-day); supersedes BOD 19-02/22-01. Does not mandate SBOM/VDR/VEX artifacts</w:t>
            </w:r>
          </w:p>
        </w:tc>
      </w:tr>
      <w:tr>
        <w:tc>
          <w:tcPr/>
          <w:p>
            <w:pPr>
              <w:pStyle w:val="Compact"/>
            </w:pPr>
            <w:r>
              <w:t xml:space="preserve">FedRAMP NTC-0014 (June 2026)</w:t>
            </w:r>
          </w:p>
        </w:tc>
        <w:tc>
          <w:tcPr/>
          <w:p>
            <w:pPr>
              <w:pStyle w:val="Compact"/>
            </w:pPr>
            <w:r>
              <w:t xml:space="preserve">FedRAMP VDR (Vulnerability Detection &amp; Response) / VER (Vulnerability Evaluation &amp; Reporting) rule sets mandatory Dec 7, 2026</w:t>
            </w:r>
          </w:p>
        </w:tc>
      </w:tr>
      <w:tr>
        <w:tc>
          <w:tcPr/>
          <w:p>
            <w:pPr>
              <w:pStyle w:val="Compact"/>
            </w:pPr>
            <w:r>
              <w:t xml:space="preserve">CISA/NTIA Minimum Elements for an SBOM (July 2021; CISA 2025 update)</w:t>
            </w:r>
          </w:p>
        </w:tc>
        <w:tc>
          <w:tcPr/>
          <w:p>
            <w:pPr>
              <w:pStyle w:val="Compact"/>
            </w:pPr>
            <w:r>
              <w:t xml:space="preserve">NTIA-aligned minimum content requirements</w:t>
            </w:r>
          </w:p>
        </w:tc>
      </w:tr>
      <w:tr>
        <w:tc>
          <w:tcPr/>
          <w:p>
            <w:pPr>
              <w:pStyle w:val="Compact"/>
            </w:pPr>
            <w:r>
              <w:t xml:space="preserve">CycloneDX 1.6 Specification</w:t>
            </w:r>
          </w:p>
        </w:tc>
        <w:tc>
          <w:tcPr/>
          <w:p>
            <w:pPr>
              <w:pStyle w:val="Compact"/>
            </w:pPr>
            <w:r>
              <w:t xml:space="preserve">SBOM, VDR, and VEX document format</w:t>
            </w:r>
          </w:p>
        </w:tc>
      </w:tr>
      <w:tr>
        <w:tc>
          <w:tcPr/>
          <w:p>
            <w:pPr>
              <w:pStyle w:val="Compact"/>
            </w:pPr>
            <w:r>
              <w:t xml:space="preserve">OpenVEX v0.2.0</w:t>
            </w:r>
          </w:p>
        </w:tc>
        <w:tc>
          <w:tcPr/>
          <w:p>
            <w:pPr>
              <w:pStyle w:val="Compact"/>
            </w:pPr>
            <w:r>
              <w:t xml:space="preserve">VEX statement format and submission protocol</w:t>
            </w:r>
          </w:p>
        </w:tc>
      </w:tr>
      <w:tr>
        <w:tc>
          <w:tcPr/>
          <w:p>
            <w:pPr>
              <w:pStyle w:val="Compact"/>
            </w:pPr>
            <w:r>
              <w:t xml:space="preserve">SLSA v1.0 Framework</w:t>
            </w:r>
          </w:p>
        </w:tc>
        <w:tc>
          <w:tcPr/>
          <w:p>
            <w:pPr>
              <w:pStyle w:val="Compact"/>
            </w:pPr>
            <w:r>
              <w:t xml:space="preserve">Build integrity levels and provenance requirements</w:t>
            </w:r>
          </w:p>
        </w:tc>
      </w:tr>
      <w:tr>
        <w:tc>
          <w:tcPr/>
          <w:p>
            <w:pPr>
              <w:pStyle w:val="Compact"/>
            </w:pPr>
            <w:r>
              <w:t xml:space="preserve">NIST SP 800-53 Rev 5 — SR Family</w:t>
            </w:r>
          </w:p>
        </w:tc>
        <w:tc>
          <w:tcPr/>
          <w:p>
            <w:pPr>
              <w:pStyle w:val="Compact"/>
            </w:pPr>
            <w:r>
              <w:t xml:space="preserve">SR-1 through SR-11 control requirements</w:t>
            </w:r>
          </w:p>
        </w:tc>
      </w:tr>
      <w:tr>
        <w:tc>
          <w:tcPr/>
          <w:p>
            <w:pPr>
              <w:pStyle w:val="Compact"/>
            </w:pPr>
            <w:r>
              <w:t xml:space="preserve">FedRAMP 20x Consolidated Rules (Jun 25, 2026)</w:t>
            </w:r>
          </w:p>
        </w:tc>
        <w:tc>
          <w:tcPr/>
          <w:p>
            <w:pPr>
              <w:pStyle w:val="Compact"/>
            </w:pPr>
            <w:r>
              <w:t xml:space="preserve">KSI-SCR and KSI-CMT requirements</w:t>
            </w:r>
          </w:p>
        </w:tc>
      </w:tr>
      <w:tr>
        <w:tc>
          <w:tcPr/>
          <w:p>
            <w:pPr>
              <w:pStyle w:val="Compact"/>
            </w:pPr>
            <w:r>
              <w:t xml:space="preserve">Vol III Book 02 — Vulnerability Management</w:t>
            </w:r>
          </w:p>
        </w:tc>
        <w:tc>
          <w:tcPr/>
          <w:p>
            <w:pPr>
              <w:pStyle w:val="Compact"/>
            </w:pPr>
            <w:r>
              <w:t xml:space="preserve">Defender VM + KEV integration; extends to SBOM-sourced CVE triage</w:t>
            </w:r>
          </w:p>
        </w:tc>
      </w:tr>
      <w:tr>
        <w:tc>
          <w:tcPr/>
          <w:p>
            <w:pPr>
              <w:pStyle w:val="Compact"/>
            </w:pPr>
            <w:r>
              <w:t xml:space="preserve">Vol III Book 06 — SIEM / XDR / Detection Engineering</w:t>
            </w:r>
          </w:p>
        </w:tc>
        <w:tc>
          <w:tcPr/>
          <w:p>
            <w:pPr>
              <w:pStyle w:val="Compact"/>
            </w:pPr>
            <w:r>
              <w:t xml:space="preserve">Sentinel ingestion of SBOM/VDR telemetry; KQL analytic rules</w:t>
            </w:r>
          </w:p>
        </w:tc>
      </w:tr>
    </w:tbl>
    <w:bookmarkStart w:id="83" w:name="draft-proposal-subject-to-review-3"/>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83"/>
    <w:bookmarkStart w:id="84" w:name="what-this-document-addresses-2"/>
    <w:p>
      <w:pPr>
        <w:pStyle w:val="Heading2"/>
      </w:pPr>
      <w:r>
        <w:t xml:space="preserve">What This Document Addresses</w:t>
      </w:r>
    </w:p>
    <w:p>
      <w:pPr>
        <w:pStyle w:val="FirstParagraph"/>
      </w:pPr>
      <w:r>
        <w:t xml:space="preserve">FedRAMP 20x Authorization requires organizational governance artifacts that</w:t>
      </w:r>
      <w:r>
        <w:t xml:space="preserve"> </w:t>
      </w:r>
      <w:r>
        <w:t xml:space="preserve">exist outside the technical control stack. Program Management (PM) controls</w:t>
      </w:r>
      <w:r>
        <w:t xml:space="preserve"> </w:t>
      </w:r>
      <w:r>
        <w:t xml:space="preserve">establish the organizational infrastructure — leadership accountabilities,</w:t>
      </w:r>
      <w:r>
        <w:t xml:space="preserve"> </w:t>
      </w:r>
      <w:r>
        <w:t xml:space="preserve">program plans, metrics, and risk management frameworks — within which all</w:t>
      </w:r>
      <w:r>
        <w:t xml:space="preserve"> </w:t>
      </w:r>
      <w:r>
        <w:t xml:space="preserve">technical controls operate. Without these artifacts, technical evidence</w:t>
      </w:r>
      <w:r>
        <w:t xml:space="preserve"> </w:t>
      </w:r>
      <w:r>
        <w:t xml:space="preserve">cannot be contextualized against organizational mission and risk posture.</w:t>
      </w:r>
    </w:p>
    <w:p>
      <w:pPr>
        <w:pStyle w:val="BodyText"/>
      </w:pPr>
      <w:r>
        <w:t xml:space="preserve">This document provides:</w:t>
      </w:r>
    </w:p>
    <w:p>
      <w:pPr>
        <w:pStyle w:val="Compact"/>
        <w:numPr>
          <w:ilvl w:val="0"/>
          <w:numId w:val="1016"/>
        </w:numPr>
      </w:pPr>
      <w:r>
        <w:rPr>
          <w:b/>
          <w:bCs/>
        </w:rPr>
        <w:t xml:space="preserve">Information Security Program Plan (ISPP)</w:t>
      </w:r>
      <w:r>
        <w:t xml:space="preserve"> </w:t>
      </w:r>
      <w:r>
        <w:t xml:space="preserve">— a structured outline</w:t>
      </w:r>
      <w:r>
        <w:t xml:space="preserve"> </w:t>
      </w:r>
      <w:r>
        <w:t xml:space="preserve">satisfying PM-1, PM-7, PM-11 with a fillable template</w:t>
      </w:r>
    </w:p>
    <w:p>
      <w:pPr>
        <w:pStyle w:val="Compact"/>
        <w:numPr>
          <w:ilvl w:val="0"/>
          <w:numId w:val="1016"/>
        </w:numPr>
      </w:pPr>
      <w:r>
        <w:rPr>
          <w:b/>
          <w:bCs/>
        </w:rPr>
        <w:t xml:space="preserve">Program Leadership RACI</w:t>
      </w:r>
      <w:r>
        <w:t xml:space="preserve"> </w:t>
      </w:r>
      <w:r>
        <w:t xml:space="preserve">— roles, responsibilities, and accountability</w:t>
      </w:r>
      <w:r>
        <w:t xml:space="preserve"> </w:t>
      </w:r>
      <w:r>
        <w:t xml:space="preserve">matrix satisfying PM-2</w:t>
      </w:r>
    </w:p>
    <w:p>
      <w:pPr>
        <w:pStyle w:val="Compact"/>
        <w:numPr>
          <w:ilvl w:val="0"/>
          <w:numId w:val="1016"/>
        </w:numPr>
      </w:pPr>
      <w:r>
        <w:rPr>
          <w:b/>
          <w:bCs/>
        </w:rPr>
        <w:t xml:space="preserve">System Inventory Framework</w:t>
      </w:r>
      <w:r>
        <w:t xml:space="preserve"> </w:t>
      </w:r>
      <w:r>
        <w:t xml:space="preserve">— inventory methodology and automation</w:t>
      </w:r>
      <w:r>
        <w:t xml:space="preserve"> </w:t>
      </w:r>
      <w:r>
        <w:t xml:space="preserve">approach satisfying PM-5</w:t>
      </w:r>
    </w:p>
    <w:p>
      <w:pPr>
        <w:pStyle w:val="Compact"/>
        <w:numPr>
          <w:ilvl w:val="0"/>
          <w:numId w:val="1016"/>
        </w:numPr>
      </w:pPr>
      <w:r>
        <w:rPr>
          <w:b/>
          <w:bCs/>
        </w:rPr>
        <w:t xml:space="preserve">Risk Management Strategy</w:t>
      </w:r>
      <w:r>
        <w:t xml:space="preserve"> </w:t>
      </w:r>
      <w:r>
        <w:t xml:space="preserve">— risk register format and governance cadence</w:t>
      </w:r>
      <w:r>
        <w:t xml:space="preserve"> </w:t>
      </w:r>
      <w:r>
        <w:t xml:space="preserve">satisfying PM-9</w:t>
      </w:r>
    </w:p>
    <w:p>
      <w:pPr>
        <w:pStyle w:val="Compact"/>
        <w:numPr>
          <w:ilvl w:val="0"/>
          <w:numId w:val="1016"/>
        </w:numPr>
      </w:pPr>
      <w:r>
        <w:rPr>
          <w:b/>
          <w:bCs/>
        </w:rPr>
        <w:t xml:space="preserve">Testing, Training, and Monitoring (T&amp;T&amp;M) Plan</w:t>
      </w:r>
      <w:r>
        <w:t xml:space="preserve"> </w:t>
      </w:r>
      <w:r>
        <w:t xml:space="preserve">— tracker template</w:t>
      </w:r>
      <w:r>
        <w:t xml:space="preserve"> </w:t>
      </w:r>
      <w:r>
        <w:t xml:space="preserve">satisfying PM-14</w:t>
      </w:r>
    </w:p>
    <w:p>
      <w:pPr>
        <w:pStyle w:val="Compact"/>
        <w:numPr>
          <w:ilvl w:val="0"/>
          <w:numId w:val="1016"/>
        </w:numPr>
      </w:pPr>
      <w:r>
        <w:rPr>
          <w:b/>
          <w:bCs/>
        </w:rPr>
        <w:t xml:space="preserve">Security Contact Registry</w:t>
      </w:r>
      <w:r>
        <w:t xml:space="preserve"> </w:t>
      </w:r>
      <w:r>
        <w:t xml:space="preserve">— industry liaison contacts satisfying PM-15</w:t>
      </w:r>
    </w:p>
    <w:p>
      <w:pPr>
        <w:pStyle w:val="Compact"/>
        <w:numPr>
          <w:ilvl w:val="0"/>
          <w:numId w:val="1016"/>
        </w:numPr>
      </w:pPr>
      <w:r>
        <w:rPr>
          <w:b/>
          <w:bCs/>
        </w:rPr>
        <w:t xml:space="preserve">Supply Chain Risk Management (SCRM) Governance Charter</w:t>
      </w:r>
      <w:r>
        <w:t xml:space="preserve"> </w:t>
      </w:r>
      <w:r>
        <w:t xml:space="preserve">— organizational</w:t>
      </w:r>
      <w:r>
        <w:t xml:space="preserve"> </w:t>
      </w:r>
      <w:r>
        <w:t xml:space="preserve">SCRM framework satisfying PM-30 and providing the organizational backbone</w:t>
      </w:r>
      <w:r>
        <w:t xml:space="preserve"> </w:t>
      </w:r>
      <w:r>
        <w:t xml:space="preserve">for the technical evidence established in Vol IV Book 02 (Supply Chain Risk Management)</w:t>
      </w:r>
    </w:p>
    <w:p>
      <w:pPr>
        <w:pStyle w:val="FirstParagraph"/>
      </w:pPr>
      <w:r>
        <w:t xml:space="preserve">Together these artifacts provide the templates and framework to close nine NIST SP 800-53 Rev 5 PM family controls</w:t>
      </w:r>
      <w:r>
        <w:t xml:space="preserve"> </w:t>
      </w:r>
      <w:r>
        <w:t xml:space="preserve">and provide the PM-30 evidence that, combined with Vol IV Book 02’s technical</w:t>
      </w:r>
      <w:r>
        <w:t xml:space="preserve"> </w:t>
      </w:r>
      <w:r>
        <w:t xml:space="preserve">SBOM/VDR/VEX pipeline, seeds KSI-SCR coverage (KSI-015, KSI-016).</w:t>
      </w:r>
    </w:p>
    <w:p>
      <w:r>
        <w:pict>
          <v:rect style="width:0;height:1.5pt" o:hralign="center" o:hrstd="t" o:hr="t"/>
        </w:pict>
      </w:r>
    </w:p>
    <w:bookmarkEnd w:id="84"/>
    <w:bookmarkEnd w:id="85"/>
    <w:bookmarkStart w:id="88" w:name="X7058f7ad453c2890024bfad90a4cbe42e48ed2c"/>
    <w:p>
      <w:pPr>
        <w:pStyle w:val="Heading1"/>
      </w:pPr>
      <w:r>
        <w:t xml:space="preserve">Program Management Governance in the FedRAMP 20x Context</w:t>
      </w:r>
    </w:p>
    <w:bookmarkStart w:id="86" w:name="why-pm-controls-gate-authorization"/>
    <w:p>
      <w:pPr>
        <w:pStyle w:val="Heading2"/>
      </w:pPr>
      <w:r>
        <w:t xml:space="preserve">Why PM Controls Gate Authorization</w:t>
      </w:r>
    </w:p>
    <w:p>
      <w:pPr>
        <w:pStyle w:val="FirstParagraph"/>
      </w:pPr>
      <w:r>
        <w:t xml:space="preserve">FedRAMP 20x Key Security Indicators evaluate</w:t>
      </w:r>
      <w:r>
        <w:t xml:space="preserve"> </w:t>
      </w:r>
      <w:r>
        <w:rPr>
          <w:i/>
          <w:iCs/>
        </w:rPr>
        <w:t xml:space="preserve">outcomes</w:t>
      </w:r>
      <w:r>
        <w:t xml:space="preserve">, not checklist</w:t>
      </w:r>
      <w:r>
        <w:t xml:space="preserve"> </w:t>
      </w:r>
      <w:r>
        <w:t xml:space="preserve">compliance. PM controls are the organizational preconditions that determine</w:t>
      </w:r>
      <w:r>
        <w:t xml:space="preserve"> </w:t>
      </w:r>
      <w:r>
        <w:t xml:space="preserve">whether technical controls can achieve sustainable outcomes:</w:t>
      </w:r>
    </w:p>
    <w:p>
      <w:pPr>
        <w:pStyle w:val="Compact"/>
        <w:numPr>
          <w:ilvl w:val="0"/>
          <w:numId w:val="1017"/>
        </w:numPr>
      </w:pPr>
      <w:r>
        <w:rPr>
          <w:b/>
          <w:bCs/>
        </w:rPr>
        <w:t xml:space="preserve">PM-1</w:t>
      </w:r>
      <w:r>
        <w:t xml:space="preserve"> </w:t>
      </w:r>
      <w:r>
        <w:t xml:space="preserve">(ISPP) is the document that contextualizes all other controls —</w:t>
      </w:r>
      <w:r>
        <w:t xml:space="preserve"> </w:t>
      </w:r>
      <w:r>
        <w:t xml:space="preserve">without it, there is no authoritative statement of what the security program</w:t>
      </w:r>
      <w:r>
        <w:t xml:space="preserve"> </w:t>
      </w:r>
      <w:r>
        <w:t xml:space="preserve">is trying to achieve</w:t>
      </w:r>
    </w:p>
    <w:p>
      <w:pPr>
        <w:pStyle w:val="Compact"/>
        <w:numPr>
          <w:ilvl w:val="0"/>
          <w:numId w:val="1017"/>
        </w:numPr>
      </w:pPr>
      <w:r>
        <w:rPr>
          <w:b/>
          <w:bCs/>
        </w:rPr>
        <w:t xml:space="preserve">PM-9</w:t>
      </w:r>
      <w:r>
        <w:t xml:space="preserve"> </w:t>
      </w:r>
      <w:r>
        <w:t xml:space="preserve">(Risk Management Strategy) determines how the organization decides</w:t>
      </w:r>
      <w:r>
        <w:t xml:space="preserve"> </w:t>
      </w:r>
      <w:r>
        <w:t xml:space="preserve">which risks to accept, mitigate, transfer, or avoid — every POA&amp;M item</w:t>
      </w:r>
      <w:r>
        <w:t xml:space="preserve"> </w:t>
      </w:r>
      <w:r>
        <w:t xml:space="preserve">references this decision framework</w:t>
      </w:r>
    </w:p>
    <w:p>
      <w:pPr>
        <w:pStyle w:val="Compact"/>
        <w:numPr>
          <w:ilvl w:val="0"/>
          <w:numId w:val="1017"/>
        </w:numPr>
      </w:pPr>
      <w:r>
        <w:rPr>
          <w:b/>
          <w:bCs/>
        </w:rPr>
        <w:t xml:space="preserve">PM-30</w:t>
      </w:r>
      <w:r>
        <w:t xml:space="preserve"> </w:t>
      </w:r>
      <w:r>
        <w:t xml:space="preserve">(SCRM Strategy) is the organizational commitment that makes the</w:t>
      </w:r>
      <w:r>
        <w:t xml:space="preserve"> </w:t>
      </w:r>
      <w:r>
        <w:t xml:space="preserve">Vol IV Book 02 SBOM/VDR/VEX pipeline a governance artifact rather than a technical</w:t>
      </w:r>
      <w:r>
        <w:t xml:space="preserve"> </w:t>
      </w:r>
      <w:r>
        <w:t xml:space="preserve">experiment — it binds leadership to the supply chain risk posture</w:t>
      </w:r>
    </w:p>
    <w:bookmarkEnd w:id="86"/>
    <w:bookmarkStart w:id="87" w:name="pm-controls-closed-by-this-document"/>
    <w:p>
      <w:pPr>
        <w:pStyle w:val="Heading2"/>
      </w:pPr>
      <w:r>
        <w:t xml:space="preserve">PM Controls Closed by This Document</w:t>
      </w:r>
    </w:p>
    <w:tbl>
      <w:tblPr>
        <w:tblStyle w:val="Table"/>
        <w:tblW w:type="pct" w:w="5000"/>
        <w:tblLayout w:type="fixed"/>
        <w:tblLook w:firstRow="1" w:lastRow="0" w:firstColumn="0" w:lastColumn="0" w:noHBand="0" w:noVBand="0" w:val="0020"/>
      </w:tblPr>
      <w:tblGrid>
        <w:gridCol w:w="2741"/>
        <w:gridCol w:w="2132"/>
        <w:gridCol w:w="3046"/>
      </w:tblGrid>
      <w:tr>
        <w:trPr>
          <w:tblHeader w:val="on"/>
        </w:trPr>
        <w:tc>
          <w:tcPr/>
          <w:p>
            <w:pPr>
              <w:pStyle w:val="Compact"/>
            </w:pPr>
            <w:r>
              <w:t xml:space="preserve">Control</w:t>
            </w:r>
          </w:p>
        </w:tc>
        <w:tc>
          <w:tcPr/>
          <w:p>
            <w:pPr>
              <w:pStyle w:val="Compact"/>
            </w:pPr>
            <w:r>
              <w:t xml:space="preserve">Title</w:t>
            </w:r>
          </w:p>
        </w:tc>
        <w:tc>
          <w:tcPr/>
          <w:p>
            <w:pPr>
              <w:pStyle w:val="Compact"/>
            </w:pPr>
            <w:r>
              <w:t xml:space="preserve">Artifact</w:t>
            </w:r>
          </w:p>
        </w:tc>
      </w:tr>
      <w:tr>
        <w:tc>
          <w:tcPr/>
          <w:p>
            <w:pPr>
              <w:pStyle w:val="Compact"/>
            </w:pPr>
            <w:r>
              <w:t xml:space="preserve">PM-1</w:t>
            </w:r>
          </w:p>
        </w:tc>
        <w:tc>
          <w:tcPr/>
          <w:p>
            <w:pPr>
              <w:pStyle w:val="Compact"/>
            </w:pPr>
            <w:r>
              <w:t xml:space="preserve">Information Security Program Plan</w:t>
            </w:r>
          </w:p>
        </w:tc>
        <w:tc>
          <w:tcPr/>
          <w:p>
            <w:pPr>
              <w:pStyle w:val="Compact"/>
            </w:pPr>
            <w:r>
              <w:t xml:space="preserve">§2 ISPP Template</w:t>
            </w:r>
          </w:p>
        </w:tc>
      </w:tr>
      <w:tr>
        <w:tc>
          <w:tcPr/>
          <w:p>
            <w:pPr>
              <w:pStyle w:val="Compact"/>
            </w:pPr>
            <w:r>
              <w:t xml:space="preserve">PM-2</w:t>
            </w:r>
          </w:p>
        </w:tc>
        <w:tc>
          <w:tcPr/>
          <w:p>
            <w:pPr>
              <w:pStyle w:val="Compact"/>
            </w:pPr>
            <w:r>
              <w:t xml:space="preserve">Info Security Program Leadership Role</w:t>
            </w:r>
          </w:p>
        </w:tc>
        <w:tc>
          <w:tcPr/>
          <w:p>
            <w:pPr>
              <w:pStyle w:val="Compact"/>
            </w:pPr>
            <w:r>
              <w:t xml:space="preserve">§3 Leadership RACI</w:t>
            </w:r>
          </w:p>
        </w:tc>
      </w:tr>
      <w:tr>
        <w:tc>
          <w:tcPr/>
          <w:p>
            <w:pPr>
              <w:pStyle w:val="Compact"/>
            </w:pPr>
            <w:r>
              <w:t xml:space="preserve">PM-5</w:t>
            </w:r>
          </w:p>
        </w:tc>
        <w:tc>
          <w:tcPr/>
          <w:p>
            <w:pPr>
              <w:pStyle w:val="Compact"/>
            </w:pPr>
            <w:r>
              <w:t xml:space="preserve">System Inventory</w:t>
            </w:r>
          </w:p>
        </w:tc>
        <w:tc>
          <w:tcPr/>
          <w:p>
            <w:pPr>
              <w:pStyle w:val="Compact"/>
            </w:pPr>
            <w:r>
              <w:t xml:space="preserve">§4 Inventory Framework</w:t>
            </w:r>
          </w:p>
        </w:tc>
      </w:tr>
      <w:tr>
        <w:tc>
          <w:tcPr/>
          <w:p>
            <w:pPr>
              <w:pStyle w:val="Compact"/>
            </w:pPr>
            <w:r>
              <w:t xml:space="preserve">PM-7</w:t>
            </w:r>
          </w:p>
        </w:tc>
        <w:tc>
          <w:tcPr/>
          <w:p>
            <w:pPr>
              <w:pStyle w:val="Compact"/>
            </w:pPr>
            <w:r>
              <w:t xml:space="preserve">Enterprise Architecture</w:t>
            </w:r>
          </w:p>
        </w:tc>
        <w:tc>
          <w:tcPr/>
          <w:p>
            <w:pPr>
              <w:pStyle w:val="Compact"/>
            </w:pPr>
            <w:r>
              <w:t xml:space="preserve">§2.2 EA Integration</w:t>
            </w:r>
          </w:p>
        </w:tc>
      </w:tr>
      <w:tr>
        <w:tc>
          <w:tcPr/>
          <w:p>
            <w:pPr>
              <w:pStyle w:val="Compact"/>
            </w:pPr>
            <w:r>
              <w:t xml:space="preserve">PM-9</w:t>
            </w:r>
          </w:p>
        </w:tc>
        <w:tc>
          <w:tcPr/>
          <w:p>
            <w:pPr>
              <w:pStyle w:val="Compact"/>
            </w:pPr>
            <w:r>
              <w:t xml:space="preserve">Risk Management Strategy</w:t>
            </w:r>
          </w:p>
        </w:tc>
        <w:tc>
          <w:tcPr/>
          <w:p>
            <w:pPr>
              <w:pStyle w:val="Compact"/>
            </w:pPr>
            <w:r>
              <w:t xml:space="preserve">§5 Risk Register Framework</w:t>
            </w:r>
          </w:p>
        </w:tc>
      </w:tr>
      <w:tr>
        <w:tc>
          <w:tcPr/>
          <w:p>
            <w:pPr>
              <w:pStyle w:val="Compact"/>
            </w:pPr>
            <w:r>
              <w:t xml:space="preserve">PM-11</w:t>
            </w:r>
          </w:p>
        </w:tc>
        <w:tc>
          <w:tcPr/>
          <w:p>
            <w:pPr>
              <w:pStyle w:val="Compact"/>
            </w:pPr>
            <w:r>
              <w:t xml:space="preserve">Mission/Business Process Definition</w:t>
            </w:r>
          </w:p>
        </w:tc>
        <w:tc>
          <w:tcPr/>
          <w:p>
            <w:pPr>
              <w:pStyle w:val="Compact"/>
            </w:pPr>
            <w:r>
              <w:t xml:space="preserve">§2.3 Mission Mapping</w:t>
            </w:r>
          </w:p>
        </w:tc>
      </w:tr>
      <w:tr>
        <w:tc>
          <w:tcPr/>
          <w:p>
            <w:pPr>
              <w:pStyle w:val="Compact"/>
            </w:pPr>
            <w:r>
              <w:t xml:space="preserve">PM-14</w:t>
            </w:r>
          </w:p>
        </w:tc>
        <w:tc>
          <w:tcPr/>
          <w:p>
            <w:pPr>
              <w:pStyle w:val="Compact"/>
            </w:pPr>
            <w:r>
              <w:t xml:space="preserve">Testing, Training, and Monitoring</w:t>
            </w:r>
          </w:p>
        </w:tc>
        <w:tc>
          <w:tcPr/>
          <w:p>
            <w:pPr>
              <w:pStyle w:val="Compact"/>
            </w:pPr>
            <w:r>
              <w:t xml:space="preserve">§6 T&amp;T&amp;M Plan</w:t>
            </w:r>
          </w:p>
        </w:tc>
      </w:tr>
      <w:tr>
        <w:tc>
          <w:tcPr/>
          <w:p>
            <w:pPr>
              <w:pStyle w:val="Compact"/>
            </w:pPr>
            <w:r>
              <w:t xml:space="preserve">PM-15</w:t>
            </w:r>
          </w:p>
        </w:tc>
        <w:tc>
          <w:tcPr/>
          <w:p>
            <w:pPr>
              <w:pStyle w:val="Compact"/>
            </w:pPr>
            <w:r>
              <w:t xml:space="preserve">Security and Privacy Groups and Associations</w:t>
            </w:r>
          </w:p>
        </w:tc>
        <w:tc>
          <w:tcPr/>
          <w:p>
            <w:pPr>
              <w:pStyle w:val="Compact"/>
            </w:pPr>
            <w:r>
              <w:t xml:space="preserve">§7 Contact Registry</w:t>
            </w:r>
          </w:p>
        </w:tc>
      </w:tr>
      <w:tr>
        <w:tc>
          <w:tcPr/>
          <w:p>
            <w:pPr>
              <w:pStyle w:val="Compact"/>
            </w:pPr>
            <w:r>
              <w:t xml:space="preserve">PM-30</w:t>
            </w:r>
          </w:p>
        </w:tc>
        <w:tc>
          <w:tcPr/>
          <w:p>
            <w:pPr>
              <w:pStyle w:val="Compact"/>
            </w:pPr>
            <w:r>
              <w:t xml:space="preserve">Supply Chain Risk Management Strategy</w:t>
            </w:r>
          </w:p>
        </w:tc>
        <w:tc>
          <w:tcPr/>
          <w:p>
            <w:pPr>
              <w:pStyle w:val="Compact"/>
            </w:pPr>
            <w:r>
              <w:t xml:space="preserve">§8 SCRM Charter</w:t>
            </w:r>
          </w:p>
        </w:tc>
      </w:tr>
    </w:tbl>
    <w:p>
      <w:pPr>
        <w:pStyle w:val="BlockText"/>
      </w:pPr>
      <w:r>
        <w:rPr>
          <w:b/>
          <w:bCs/>
        </w:rPr>
        <w:t xml:space="preserve">Closure Necessity — PM family.</w:t>
      </w:r>
      <w:r>
        <w:t xml:space="preserve"> </w:t>
      </w:r>
      <w:r>
        <w:t xml:space="preserve">Every PM control in this book closes</w:t>
      </w:r>
      <w:r>
        <w:t xml:space="preserve"> </w:t>
      </w:r>
      <w:r>
        <w:t xml:space="preserve">through a governance artifact — the ISPP, the leadership RACI, the system</w:t>
      </w:r>
      <w:r>
        <w:t xml:space="preserve"> </w:t>
      </w:r>
      <w:r>
        <w:t xml:space="preserve">inventory framework, the risk register, the T&amp;T&amp;M plan, the SCRM charter —</w:t>
      </w:r>
      <w:r>
        <w:t xml:space="preserve"> </w:t>
      </w:r>
      <w:r>
        <w:t xml:space="preserve">signed by named officials. None of them closes through the network substrate:</w:t>
      </w:r>
      <w:r>
        <w:t xml:space="preserve"> </w:t>
      </w:r>
      <w:r>
        <w:t xml:space="preserve">no resolver, overlay, or enforcement point can author an organizational</w:t>
      </w:r>
      <w:r>
        <w:t xml:space="preserve"> </w:t>
      </w:r>
      <w:r>
        <w:t xml:space="preserve">risk-tolerance statement or a leadership accountability matrix. The series</w:t>
      </w:r>
      <w:r>
        <w:t xml:space="preserve"> </w:t>
      </w:r>
      <w:r>
        <w:t xml:space="preserve">asserts network necessity elsewhere only where control text, physics, or</w:t>
      </w:r>
      <w:r>
        <w:t xml:space="preserve"> </w:t>
      </w:r>
      <w:r>
        <w:t xml:space="preserve">protocol behavior forecloses every alternative; conceding that PM governance</w:t>
      </w:r>
      <w:r>
        <w:t xml:space="preserve"> </w:t>
      </w:r>
      <w:r>
        <w:t xml:space="preserve">is closed by documents, not technology, is what makes those assertions</w:t>
      </w:r>
      <w:r>
        <w:t xml:space="preserve"> </w:t>
      </w:r>
      <w:r>
        <w:t xml:space="preserve">credible.</w:t>
      </w:r>
    </w:p>
    <w:p>
      <w:r>
        <w:pict>
          <v:rect style="width:0;height:1.5pt" o:hralign="center" o:hrstd="t" o:hr="t"/>
        </w:pict>
      </w:r>
    </w:p>
    <w:bookmarkEnd w:id="87"/>
    <w:bookmarkEnd w:id="88"/>
    <w:bookmarkStart w:id="94" w:name="Xadfec1205972c55c7f7da87cd313895defa5c9e"/>
    <w:p>
      <w:pPr>
        <w:pStyle w:val="Heading1"/>
      </w:pPr>
      <w:r>
        <w:t xml:space="preserve">Information Security Program Plan (PM-1, PM-7, PM-11)</w:t>
      </w:r>
    </w:p>
    <w:bookmarkStart w:id="90" w:name="ispp-document-template"/>
    <w:p>
      <w:pPr>
        <w:pStyle w:val="Heading2"/>
      </w:pPr>
      <w:r>
        <w:t xml:space="preserve">ISPP Document Template</w:t>
      </w:r>
    </w:p>
    <w:p>
      <w:pPr>
        <w:pStyle w:val="FirstParagraph"/>
      </w:pPr>
      <w:r>
        <w:t xml:space="preserve">The Information Security Program Plan (ISPP) is the governing document for</w:t>
      </w:r>
      <w:r>
        <w:t xml:space="preserve"> </w:t>
      </w:r>
      <w:r>
        <w:t xml:space="preserve">Agency’s cloud security program under FedRAMP 20x. It must be maintained by</w:t>
      </w:r>
      <w:r>
        <w:t xml:space="preserve"> </w:t>
      </w:r>
      <w:r>
        <w:t xml:space="preserve">the designated Senior Agency Information Security Officer (SAISO/CISO) and</w:t>
      </w:r>
      <w:r>
        <w:t xml:space="preserve"> </w:t>
      </w:r>
      <w:r>
        <w:t xml:space="preserve">reviewed annually or after major system changes.</w:t>
      </w:r>
    </w:p>
    <w:bookmarkStart w:id="89" w:name="ispp-section-outline"/>
    <w:p>
      <w:pPr>
        <w:pStyle w:val="Heading3"/>
      </w:pPr>
      <w:r>
        <w:t xml:space="preserve">ISPP Section Outline</w:t>
      </w:r>
    </w:p>
    <w:p>
      <w:pPr>
        <w:pStyle w:val="FirstParagraph"/>
      </w:pPr>
      <w:r>
        <w:rPr>
          <w:b/>
          <w:bCs/>
        </w:rPr>
        <w:t xml:space="preserve">Section 1 — Purpose and Scope</w:t>
      </w:r>
    </w:p>
    <w:p>
      <w:pPr>
        <w:pStyle w:val="BlockText"/>
      </w:pPr>
      <w:r>
        <w:t xml:space="preserve">[FILLABLE] This Information Security Program Plan establishes the security</w:t>
      </w:r>
      <w:r>
        <w:t xml:space="preserve"> </w:t>
      </w:r>
      <w:r>
        <w:t xml:space="preserve">management framework for [SYSTEM NAME], a [IMPACT LEVEL: Low/Moderate/High]</w:t>
      </w:r>
      <w:r>
        <w:t xml:space="preserve"> </w:t>
      </w:r>
      <w:r>
        <w:t xml:space="preserve">impact system operated by the Agency Cloud</w:t>
      </w:r>
      <w:r>
        <w:t xml:space="preserve"> </w:t>
      </w:r>
      <w:r>
        <w:t xml:space="preserve">Services Team under an agency RMF authorization (NIST SP 800-37), with</w:t>
      </w:r>
      <w:r>
        <w:t xml:space="preserve"> </w:t>
      </w:r>
      <w:r>
        <w:t xml:space="preserve">ConMon evidence modeled on the FedRAMP 20x KSI schema.</w:t>
      </w:r>
    </w:p>
    <w:p>
      <w:pPr>
        <w:pStyle w:val="BlockText"/>
      </w:pPr>
      <w:r>
        <w:rPr>
          <w:b/>
          <w:bCs/>
        </w:rPr>
        <w:t xml:space="preserve">Authorization Boundary:</w:t>
      </w:r>
      <w:r>
        <w:t xml:space="preserve"> </w:t>
      </w:r>
      <w:r>
        <w:t xml:space="preserve">[Reference the boundary diagram from the SSP.</w:t>
      </w:r>
      <w:r>
        <w:t xml:space="preserve"> </w:t>
      </w:r>
      <w:r>
        <w:t xml:space="preserve">The boundary must match the system inventory in §PM-5 and the</w:t>
      </w:r>
      <w:r>
        <w:t xml:space="preserve"> </w:t>
      </w:r>
      <w:r>
        <w:t xml:space="preserve">authorization package presented to the Agency Authorizing Official.]</w:t>
      </w:r>
    </w:p>
    <w:p>
      <w:pPr>
        <w:pStyle w:val="BlockText"/>
      </w:pPr>
      <w:r>
        <w:rPr>
          <w:b/>
          <w:bCs/>
        </w:rPr>
        <w:t xml:space="preserve">Effective Date:</w:t>
      </w:r>
      <w:r>
        <w:t xml:space="preserve"> </w:t>
      </w:r>
      <w:r>
        <w:t xml:space="preserve">[DATE]</w:t>
      </w:r>
      <w:r>
        <w:t xml:space="preserve"> </w:t>
      </w:r>
      <w:r>
        <w:rPr>
          <w:b/>
          <w:bCs/>
        </w:rPr>
        <w:t xml:space="preserve">Review Cycle:</w:t>
      </w:r>
      <w:r>
        <w:t xml:space="preserve"> </w:t>
      </w:r>
      <w:r>
        <w:t xml:space="preserve">Annual / After major change</w:t>
      </w:r>
    </w:p>
    <w:p>
      <w:pPr>
        <w:pStyle w:val="BlockText"/>
      </w:pPr>
      <w:r>
        <w:rPr>
          <w:b/>
          <w:bCs/>
        </w:rPr>
        <w:t xml:space="preserve">Document Owner:</w:t>
      </w:r>
      <w:r>
        <w:t xml:space="preserve"> </w:t>
      </w:r>
      <w:r>
        <w:t xml:space="preserve">[NAME, TITLE] — SAISO/CISO</w:t>
      </w:r>
    </w:p>
    <w:p>
      <w:pPr>
        <w:pStyle w:val="BlockText"/>
      </w:pPr>
      <w:r>
        <w:rPr>
          <w:b/>
          <w:bCs/>
        </w:rPr>
        <w:t xml:space="preserve">Approver:</w:t>
      </w:r>
      <w:r>
        <w:t xml:space="preserve"> </w:t>
      </w:r>
      <w:r>
        <w:t xml:space="preserve">[NAME, TITLE] — Authorizing Official (AO)</w:t>
      </w:r>
    </w:p>
    <w:p>
      <w:pPr>
        <w:pStyle w:val="FirstParagraph"/>
      </w:pPr>
      <w:r>
        <w:rPr>
          <w:b/>
          <w:bCs/>
        </w:rPr>
        <w:t xml:space="preserve">Section 2 — Legal and Regulatory Authority</w:t>
      </w:r>
    </w:p>
    <w:p>
      <w:pPr>
        <w:pStyle w:val="Compact"/>
        <w:numPr>
          <w:ilvl w:val="0"/>
          <w:numId w:val="1018"/>
        </w:numPr>
      </w:pPr>
      <w:r>
        <w:t xml:space="preserve">Federal Information Security Modernization Act (FISMA) 2014, 44 U.S.C. §3551</w:t>
      </w:r>
    </w:p>
    <w:p>
      <w:pPr>
        <w:pStyle w:val="Compact"/>
        <w:numPr>
          <w:ilvl w:val="0"/>
          <w:numId w:val="1018"/>
        </w:numPr>
      </w:pPr>
      <w:r>
        <w:t xml:space="preserve">OMB Circular A-130, Managing Federal Information as a Strategic Resource</w:t>
      </w:r>
    </w:p>
    <w:p>
      <w:pPr>
        <w:pStyle w:val="Compact"/>
        <w:numPr>
          <w:ilvl w:val="0"/>
          <w:numId w:val="1018"/>
        </w:numPr>
      </w:pPr>
      <w:r>
        <w:t xml:space="preserve">NIST SP 800-53 Rev 5, Security and Privacy Controls for Information Systems</w:t>
      </w:r>
    </w:p>
    <w:p>
      <w:pPr>
        <w:pStyle w:val="Compact"/>
        <w:numPr>
          <w:ilvl w:val="0"/>
          <w:numId w:val="1018"/>
        </w:numPr>
      </w:pPr>
      <w:r>
        <w:t xml:space="preserve">FedRAMP 20x Authorization Framework (GSA, 2026)</w:t>
      </w:r>
    </w:p>
    <w:p>
      <w:pPr>
        <w:pStyle w:val="Compact"/>
        <w:numPr>
          <w:ilvl w:val="0"/>
          <w:numId w:val="1018"/>
        </w:numPr>
      </w:pPr>
      <w:r>
        <w:t xml:space="preserve">CISA Binding Operational Directive 26-04 (SBOM/VDR/VER, effective Dec 7, 2026)</w:t>
      </w:r>
    </w:p>
    <w:p>
      <w:pPr>
        <w:pStyle w:val="Compact"/>
        <w:numPr>
          <w:ilvl w:val="0"/>
          <w:numId w:val="1018"/>
        </w:numPr>
      </w:pPr>
      <w:r>
        <w:t xml:space="preserve">Executive Order 14028, Improving the Nation’s Cybersecurity (May 2021)</w:t>
      </w:r>
    </w:p>
    <w:p>
      <w:pPr>
        <w:pStyle w:val="FirstParagraph"/>
      </w:pPr>
      <w:r>
        <w:rPr>
          <w:b/>
          <w:bCs/>
        </w:rPr>
        <w:t xml:space="preserve">Section 3 — Security Program Objectives</w:t>
      </w:r>
    </w:p>
    <w:p>
      <w:pPr>
        <w:pStyle w:val="BlockText"/>
      </w:pPr>
      <w:r>
        <w:t xml:space="preserve">[FILLABLE] The Agency cloud security program is designed to achieve the</w:t>
      </w:r>
      <w:r>
        <w:t xml:space="preserve"> </w:t>
      </w:r>
      <w:r>
        <w:t xml:space="preserve">following risk-based objectives, prioritized in alignment with Agency’s</w:t>
      </w:r>
      <w:r>
        <w:t xml:space="preserve"> </w:t>
      </w:r>
      <w:r>
        <w:t xml:space="preserve">mission of delivering critical citizen services:</w:t>
      </w:r>
    </w:p>
    <w:p>
      <w:pPr>
        <w:pStyle w:val="Compact"/>
        <w:numPr>
          <w:ilvl w:val="0"/>
          <w:numId w:val="1019"/>
        </w:numPr>
      </w:pPr>
      <w:r>
        <w:t xml:space="preserve">Protect the confidentiality, integrity, and availability of citizen PII</w:t>
      </w:r>
      <w:r>
        <w:t xml:space="preserve"> </w:t>
      </w:r>
      <w:r>
        <w:t xml:space="preserve">and benefit payment data</w:t>
      </w:r>
    </w:p>
    <w:p>
      <w:pPr>
        <w:pStyle w:val="Compact"/>
        <w:numPr>
          <w:ilvl w:val="0"/>
          <w:numId w:val="1019"/>
        </w:numPr>
      </w:pPr>
      <w:r>
        <w:t xml:space="preserve">Maintain continuous FedRAMP Moderate authorization across all cloud</w:t>
      </w:r>
      <w:r>
        <w:t xml:space="preserve"> </w:t>
      </w:r>
      <w:r>
        <w:t xml:space="preserve">service offerings used to deliver [MISSION FUNCTIONS]</w:t>
      </w:r>
    </w:p>
    <w:p>
      <w:pPr>
        <w:pStyle w:val="Compact"/>
        <w:numPr>
          <w:ilvl w:val="0"/>
          <w:numId w:val="1019"/>
        </w:numPr>
      </w:pPr>
      <w:r>
        <w:t xml:space="preserve">Achieve and sustain KSI scores meeting the FedRAMP 20x Authorize</w:t>
      </w:r>
      <w:r>
        <w:t xml:space="preserve"> </w:t>
      </w:r>
      <w:r>
        <w:t xml:space="preserve">threshold across all 10 KSI themes by [DATE]</w:t>
      </w:r>
    </w:p>
    <w:p>
      <w:pPr>
        <w:pStyle w:val="Compact"/>
        <w:numPr>
          <w:ilvl w:val="0"/>
          <w:numId w:val="1019"/>
        </w:numPr>
      </w:pPr>
      <w:r>
        <w:t xml:space="preserve">Satisfy the BOD 26-04 SBOM/VDR/VER requirement by December 7, 2026</w:t>
      </w:r>
    </w:p>
    <w:p>
      <w:pPr>
        <w:pStyle w:val="FirstParagraph"/>
      </w:pPr>
      <w:r>
        <w:rPr>
          <w:b/>
          <w:bCs/>
        </w:rPr>
        <w:t xml:space="preserve">Section 4 — Program Resources and Budget</w:t>
      </w:r>
    </w:p>
    <w:p>
      <w:pPr>
        <w:pStyle w:val="BlockText"/>
      </w:pPr>
      <w:r>
        <w:t xml:space="preserve">[FILLABLE] Security program resources are allocated as follows:</w:t>
      </w:r>
    </w:p>
    <w:tbl>
      <w:tblPr>
        <w:tblStyle w:val="Table"/>
        <w:tblW w:type="pct" w:w="5000"/>
        <w:tblLayout w:type="fixed"/>
        <w:tblLook w:firstRow="1" w:lastRow="0" w:firstColumn="0" w:lastColumn="0" w:noHBand="0" w:noVBand="0" w:val="0020"/>
      </w:tblPr>
      <w:tblGrid>
        <w:gridCol w:w="3099"/>
        <w:gridCol w:w="3615"/>
        <w:gridCol w:w="1205"/>
      </w:tblGrid>
      <w:tr>
        <w:trPr>
          <w:tblHeader w:val="on"/>
        </w:trPr>
        <w:tc>
          <w:tcPr/>
          <w:p>
            <w:pPr>
              <w:pStyle w:val="Compact"/>
            </w:pPr>
            <w:r>
              <w:t xml:space="preserve">Resource Category</w:t>
            </w:r>
          </w:p>
        </w:tc>
        <w:tc>
          <w:tcPr/>
          <w:p>
            <w:pPr>
              <w:pStyle w:val="Compact"/>
            </w:pPr>
            <w:r>
              <w:t xml:space="preserve">FY[YEAR] Allocation</w:t>
            </w:r>
          </w:p>
        </w:tc>
        <w:tc>
          <w:tcPr/>
          <w:p>
            <w:pPr>
              <w:pStyle w:val="Compact"/>
            </w:pPr>
            <w:r>
              <w:t xml:space="preserve">Notes</w:t>
            </w:r>
          </w:p>
        </w:tc>
      </w:tr>
      <w:tr>
        <w:tc>
          <w:tcPr/>
          <w:p>
            <w:pPr>
              <w:pStyle w:val="Compact"/>
            </w:pPr>
            <w:r>
              <w:t xml:space="preserve">FTE (security staff)</w:t>
            </w:r>
          </w:p>
        </w:tc>
        <w:tc>
          <w:tcPr/>
          <w:p>
            <w:pPr>
              <w:pStyle w:val="Compact"/>
            </w:pPr>
            <w:r>
              <w:t xml:space="preserve">[N FTE]</w:t>
            </w:r>
          </w:p>
        </w:tc>
        <w:tc>
          <w:tcPr/>
          <w:p>
            <w:pPr>
              <w:pStyle w:val="Compact"/>
            </w:pPr>
            <w:r>
              <w:t xml:space="preserve">ISSO, Security Architect, DevSecOps</w:t>
            </w:r>
          </w:p>
        </w:tc>
      </w:tr>
      <w:tr>
        <w:tc>
          <w:tcPr/>
          <w:p>
            <w:pPr>
              <w:pStyle w:val="Compact"/>
            </w:pPr>
            <w:r>
              <w:t xml:space="preserve">Tools and licensing</w:t>
            </w:r>
          </w:p>
        </w:tc>
        <w:tc>
          <w:tcPr/>
          <w:p>
            <w:pPr>
              <w:pStyle w:val="Compact"/>
            </w:pPr>
            <w:r>
              <w:t xml:space="preserve">$[AMOUNT]</w:t>
            </w:r>
          </w:p>
        </w:tc>
        <w:tc>
          <w:tcPr/>
          <w:p>
            <w:pPr>
              <w:pStyle w:val="Compact"/>
            </w:pPr>
            <w:r>
              <w:t xml:space="preserve">SIEM, vulnerability scanning, SBOM tooling</w:t>
            </w:r>
          </w:p>
        </w:tc>
      </w:tr>
      <w:tr>
        <w:tc>
          <w:tcPr/>
          <w:p>
            <w:pPr>
              <w:pStyle w:val="Compact"/>
            </w:pPr>
            <w:r>
              <w:t xml:space="preserve">Training and certification</w:t>
            </w:r>
          </w:p>
        </w:tc>
        <w:tc>
          <w:tcPr/>
          <w:p>
            <w:pPr>
              <w:pStyle w:val="Compact"/>
            </w:pPr>
            <w:r>
              <w:t xml:space="preserve">$[AMOUNT]</w:t>
            </w:r>
          </w:p>
        </w:tc>
        <w:tc>
          <w:tcPr/>
          <w:p>
            <w:pPr>
              <w:pStyle w:val="Compact"/>
            </w:pPr>
            <w:r>
              <w:t xml:space="preserve">CISSP, FedRAMP training, vendor certs</w:t>
            </w:r>
          </w:p>
        </w:tc>
      </w:tr>
      <w:tr>
        <w:tc>
          <w:tcPr/>
          <w:p>
            <w:pPr>
              <w:pStyle w:val="Compact"/>
            </w:pPr>
            <w:r>
              <w:t xml:space="preserve">Third-party assessment (3PAO)</w:t>
            </w:r>
          </w:p>
        </w:tc>
        <w:tc>
          <w:tcPr/>
          <w:p>
            <w:pPr>
              <w:pStyle w:val="Compact"/>
            </w:pPr>
            <w:r>
              <w:t xml:space="preserve">$[AMOUNT]</w:t>
            </w:r>
          </w:p>
        </w:tc>
        <w:tc>
          <w:tcPr/>
          <w:p>
            <w:pPr>
              <w:pStyle w:val="Compact"/>
            </w:pPr>
            <w:r>
              <w:t xml:space="preserve">Annual assessment + readiness review</w:t>
            </w:r>
          </w:p>
        </w:tc>
      </w:tr>
      <w:tr>
        <w:tc>
          <w:tcPr/>
          <w:p>
            <w:pPr>
              <w:pStyle w:val="Compact"/>
            </w:pPr>
            <w:r>
              <w:t xml:space="preserve">Contingency / incident response</w:t>
            </w:r>
          </w:p>
        </w:tc>
        <w:tc>
          <w:tcPr/>
          <w:p>
            <w:pPr>
              <w:pStyle w:val="Compact"/>
            </w:pPr>
            <w:r>
              <w:t xml:space="preserve">$[AMOUNT]</w:t>
            </w:r>
          </w:p>
        </w:tc>
        <w:tc>
          <w:tcPr/>
          <w:p>
            <w:pPr>
              <w:pStyle w:val="Compact"/>
            </w:pPr>
            <w:r>
              <w:t xml:space="preserve">IR retainer + tabletop exercises</w:t>
            </w:r>
          </w:p>
        </w:tc>
      </w:tr>
    </w:tbl>
    <w:bookmarkEnd w:id="89"/>
    <w:bookmarkEnd w:id="90"/>
    <w:bookmarkStart w:id="91" w:name="enterprise-architecture-integration-pm-7"/>
    <w:p>
      <w:pPr>
        <w:pStyle w:val="Heading2"/>
      </w:pPr>
      <w:r>
        <w:t xml:space="preserve">Enterprise Architecture Integration (PM-7)</w:t>
      </w:r>
    </w:p>
    <w:p>
      <w:pPr>
        <w:pStyle w:val="FirstParagraph"/>
      </w:pPr>
      <w:r>
        <w:t xml:space="preserve">The Agency security architecture is integrated into the enterprise architecture</w:t>
      </w:r>
      <w:r>
        <w:t xml:space="preserve"> </w:t>
      </w:r>
      <w:r>
        <w:t xml:space="preserve">at three levels:</w:t>
      </w:r>
    </w:p>
    <w:p>
      <w:pPr>
        <w:pStyle w:val="BodyText"/>
      </w:pPr>
      <w:r>
        <w:rPr>
          <w:b/>
          <w:bCs/>
        </w:rPr>
        <w:t xml:space="preserve">Technical Reference Architecture (TRA):</w:t>
      </w:r>
      <w:r>
        <w:t xml:space="preserve"> </w:t>
      </w:r>
      <w:r>
        <w:t xml:space="preserve">Security controls are embedded in</w:t>
      </w:r>
      <w:r>
        <w:t xml:space="preserve"> </w:t>
      </w:r>
      <w:r>
        <w:t xml:space="preserve">the TRA as mandatory capabilities. The Volume I–II Compliance books establish the</w:t>
      </w:r>
      <w:r>
        <w:t xml:space="preserve"> </w:t>
      </w:r>
      <w:r>
        <w:t xml:space="preserve">technical baseline; security controls are not bolt-ons but architectural</w:t>
      </w:r>
      <w:r>
        <w:t xml:space="preserve"> </w:t>
      </w:r>
      <w:r>
        <w:t xml:space="preserve">primitives (Zero Trust, encrypted transit, identity-first network access).</w:t>
      </w:r>
    </w:p>
    <w:p>
      <w:pPr>
        <w:pStyle w:val="BodyText"/>
      </w:pPr>
      <w:r>
        <w:rPr>
          <w:b/>
          <w:bCs/>
        </w:rPr>
        <w:t xml:space="preserve">Application Lifecycle Integration:</w:t>
      </w:r>
      <w:r>
        <w:t xml:space="preserve"> </w:t>
      </w:r>
      <w:r>
        <w:t xml:space="preserve">Every new application must complete</w:t>
      </w:r>
      <w:r>
        <w:t xml:space="preserve"> </w:t>
      </w:r>
      <w:r>
        <w:t xml:space="preserve">a Privacy Threshold Analysis (PTA) and Security Categorization before design</w:t>
      </w:r>
      <w:r>
        <w:t xml:space="preserve"> </w:t>
      </w:r>
      <w:r>
        <w:t xml:space="preserve">begins. Architecture review gates include:</w:t>
      </w:r>
    </w:p>
    <w:p>
      <w:pPr>
        <w:pStyle w:val="Compact"/>
        <w:numPr>
          <w:ilvl w:val="0"/>
          <w:numId w:val="1020"/>
        </w:numPr>
      </w:pPr>
      <w:r>
        <w:rPr>
          <w:b/>
          <w:bCs/>
        </w:rPr>
        <w:t xml:space="preserve">Concept</w:t>
      </w:r>
      <w:r>
        <w:t xml:space="preserve"> </w:t>
      </w:r>
      <w:r>
        <w:t xml:space="preserve">— security classification, boundary definition, data flow</w:t>
      </w:r>
    </w:p>
    <w:p>
      <w:pPr>
        <w:pStyle w:val="Compact"/>
        <w:numPr>
          <w:ilvl w:val="0"/>
          <w:numId w:val="1020"/>
        </w:numPr>
      </w:pPr>
      <w:r>
        <w:rPr>
          <w:b/>
          <w:bCs/>
        </w:rPr>
        <w:t xml:space="preserve">Design</w:t>
      </w:r>
      <w:r>
        <w:t xml:space="preserve"> </w:t>
      </w:r>
      <w:r>
        <w:t xml:space="preserve">— control selection, threat modeling, SBOM requirement binding</w:t>
      </w:r>
    </w:p>
    <w:p>
      <w:pPr>
        <w:pStyle w:val="Compact"/>
        <w:numPr>
          <w:ilvl w:val="0"/>
          <w:numId w:val="1020"/>
        </w:numPr>
      </w:pPr>
      <w:r>
        <w:rPr>
          <w:b/>
          <w:bCs/>
        </w:rPr>
        <w:t xml:space="preserve">Build</w:t>
      </w:r>
      <w:r>
        <w:t xml:space="preserve"> </w:t>
      </w:r>
      <w:r>
        <w:t xml:space="preserve">— security testing requirements, SBOM generation, CI gates</w:t>
      </w:r>
    </w:p>
    <w:p>
      <w:pPr>
        <w:pStyle w:val="Compact"/>
        <w:numPr>
          <w:ilvl w:val="0"/>
          <w:numId w:val="1020"/>
        </w:numPr>
      </w:pPr>
      <w:r>
        <w:rPr>
          <w:b/>
          <w:bCs/>
        </w:rPr>
        <w:t xml:space="preserve">Deploy</w:t>
      </w:r>
      <w:r>
        <w:t xml:space="preserve"> </w:t>
      </w:r>
      <w:r>
        <w:t xml:space="preserve">— ATO/P-ATO check, SBOM/VDR submission, KSI baseline</w:t>
      </w:r>
    </w:p>
    <w:p>
      <w:pPr>
        <w:pStyle w:val="Compact"/>
        <w:numPr>
          <w:ilvl w:val="0"/>
          <w:numId w:val="1020"/>
        </w:numPr>
      </w:pPr>
      <w:r>
        <w:rPr>
          <w:b/>
          <w:bCs/>
        </w:rPr>
        <w:t xml:space="preserve">Operate</w:t>
      </w:r>
      <w:r>
        <w:t xml:space="preserve"> </w:t>
      </w:r>
      <w:r>
        <w:t xml:space="preserve">— continuous monitoring, annual assessment, POA&amp;M management</w:t>
      </w:r>
    </w:p>
    <w:p>
      <w:pPr>
        <w:pStyle w:val="FirstParagraph"/>
      </w:pPr>
      <w:r>
        <w:rPr>
          <w:b/>
          <w:bCs/>
        </w:rPr>
        <w:t xml:space="preserve">EA Artifacts That Reference Security Architecture:</w:t>
      </w:r>
    </w:p>
    <w:p>
      <w:pPr>
        <w:pStyle w:val="Compact"/>
        <w:numPr>
          <w:ilvl w:val="0"/>
          <w:numId w:val="1021"/>
        </w:numPr>
      </w:pPr>
      <w:r>
        <w:t xml:space="preserve">Target Architecture Document (TAD) — references the Volume I–IV Compliance control mappings</w:t>
      </w:r>
    </w:p>
    <w:p>
      <w:pPr>
        <w:pStyle w:val="Compact"/>
        <w:numPr>
          <w:ilvl w:val="0"/>
          <w:numId w:val="1021"/>
        </w:numPr>
      </w:pPr>
      <w:r>
        <w:t xml:space="preserve">Data Architecture — references Vol III Book 05 (Purview/CMK) for data-at-rest controls</w:t>
      </w:r>
    </w:p>
    <w:p>
      <w:pPr>
        <w:pStyle w:val="Compact"/>
        <w:numPr>
          <w:ilvl w:val="0"/>
          <w:numId w:val="1021"/>
        </w:numPr>
      </w:pPr>
      <w:r>
        <w:t xml:space="preserve">Network Architecture — references the Volume I network books and Vol II Book 03 for network security</w:t>
      </w:r>
    </w:p>
    <w:bookmarkEnd w:id="91"/>
    <w:bookmarkStart w:id="93" w:name="Xd0af50a3aadb5a78babad0afeac67d3d9549b2b"/>
    <w:p>
      <w:pPr>
        <w:pStyle w:val="Heading2"/>
      </w:pPr>
      <w:r>
        <w:t xml:space="preserve">Mission and Business Process Definition (PM-11)</w:t>
      </w:r>
    </w:p>
    <w:bookmarkStart w:id="92" w:name="critical-mission-functions"/>
    <w:p>
      <w:pPr>
        <w:pStyle w:val="Heading3"/>
      </w:pPr>
      <w:r>
        <w:t xml:space="preserve">Critical Mission Functions</w:t>
      </w:r>
    </w:p>
    <w:p>
      <w:pPr>
        <w:pStyle w:val="FirstParagraph"/>
      </w:pPr>
      <w:r>
        <w:t xml:space="preserve">Agency operates the following mission-critical processes relevant to this</w:t>
      </w:r>
      <w:r>
        <w:t xml:space="preserve"> </w:t>
      </w:r>
      <w:r>
        <w:t xml:space="preserve">authorization boundary:</w:t>
      </w:r>
    </w:p>
    <w:tbl>
      <w:tblPr>
        <w:tblStyle w:val="Table"/>
        <w:tblW w:type="pct" w:w="5000"/>
        <w:tblLayout w:type="fixed"/>
        <w:tblLook w:firstRow="1" w:lastRow="0" w:firstColumn="0" w:lastColumn="0" w:noHBand="0" w:noVBand="0" w:val="0020"/>
      </w:tblPr>
      <w:tblGrid>
        <w:gridCol w:w="1980"/>
        <w:gridCol w:w="2212"/>
        <w:gridCol w:w="2562"/>
        <w:gridCol w:w="582"/>
        <w:gridCol w:w="582"/>
      </w:tblGrid>
      <w:tr>
        <w:trPr>
          <w:tblHeader w:val="on"/>
        </w:trPr>
        <w:tc>
          <w:tcPr/>
          <w:p>
            <w:pPr>
              <w:pStyle w:val="Compact"/>
            </w:pPr>
            <w:r>
              <w:t xml:space="preserve">Mission Function</w:t>
            </w:r>
          </w:p>
        </w:tc>
        <w:tc>
          <w:tcPr/>
          <w:p>
            <w:pPr>
              <w:pStyle w:val="Compact"/>
            </w:pPr>
            <w:r>
              <w:t xml:space="preserve">System Dependency</w:t>
            </w:r>
          </w:p>
        </w:tc>
        <w:tc>
          <w:tcPr/>
          <w:p>
            <w:pPr>
              <w:pStyle w:val="Compact"/>
            </w:pPr>
            <w:r>
              <w:t xml:space="preserve">Impact if Unavailable</w:t>
            </w:r>
          </w:p>
        </w:tc>
        <w:tc>
          <w:tcPr/>
          <w:p>
            <w:pPr>
              <w:pStyle w:val="Compact"/>
            </w:pPr>
            <w:r>
              <w:t xml:space="preserve">RTO</w:t>
            </w:r>
          </w:p>
        </w:tc>
        <w:tc>
          <w:tcPr/>
          <w:p>
            <w:pPr>
              <w:pStyle w:val="Compact"/>
            </w:pPr>
            <w:r>
              <w:t xml:space="preserve">RPO</w:t>
            </w:r>
          </w:p>
        </w:tc>
      </w:tr>
      <w:tr>
        <w:tc>
          <w:tcPr/>
          <w:p>
            <w:pPr>
              <w:pStyle w:val="Compact"/>
            </w:pPr>
            <w:r>
              <w:t xml:space="preserve">Benefit payment disbursement</w:t>
            </w:r>
          </w:p>
        </w:tc>
        <w:tc>
          <w:tcPr/>
          <w:p>
            <w:pPr>
              <w:pStyle w:val="Compact"/>
            </w:pPr>
            <w:r>
              <w:t xml:space="preserve">[SYSTEM]</w:t>
            </w:r>
          </w:p>
        </w:tc>
        <w:tc>
          <w:tcPr/>
          <w:p>
            <w:pPr>
              <w:pStyle w:val="Compact"/>
            </w:pPr>
            <w:r>
              <w:t xml:space="preserve">Direct citizen harm</w:t>
            </w:r>
          </w:p>
        </w:tc>
        <w:tc>
          <w:tcPr/>
          <w:p>
            <w:pPr>
              <w:pStyle w:val="Compact"/>
            </w:pPr>
            <w:r>
              <w:t xml:space="preserve">4h</w:t>
            </w:r>
          </w:p>
        </w:tc>
        <w:tc>
          <w:tcPr/>
          <w:p>
            <w:pPr>
              <w:pStyle w:val="Compact"/>
            </w:pPr>
            <w:r>
              <w:t xml:space="preserve">1h</w:t>
            </w:r>
          </w:p>
        </w:tc>
      </w:tr>
      <w:tr>
        <w:tc>
          <w:tcPr/>
          <w:p>
            <w:pPr>
              <w:pStyle w:val="Compact"/>
            </w:pPr>
            <w:r>
              <w:t xml:space="preserve">Disability determination</w:t>
            </w:r>
          </w:p>
        </w:tc>
        <w:tc>
          <w:tcPr/>
          <w:p>
            <w:pPr>
              <w:pStyle w:val="Compact"/>
            </w:pPr>
            <w:r>
              <w:t xml:space="preserve">[SYSTEM]</w:t>
            </w:r>
          </w:p>
        </w:tc>
        <w:tc>
          <w:tcPr/>
          <w:p>
            <w:pPr>
              <w:pStyle w:val="Compact"/>
            </w:pPr>
            <w:r>
              <w:t xml:space="preserve">Service delay</w:t>
            </w:r>
          </w:p>
        </w:tc>
        <w:tc>
          <w:tcPr/>
          <w:p>
            <w:pPr>
              <w:pStyle w:val="Compact"/>
            </w:pPr>
            <w:r>
              <w:t xml:space="preserve">24h</w:t>
            </w:r>
          </w:p>
        </w:tc>
        <w:tc>
          <w:tcPr/>
          <w:p>
            <w:pPr>
              <w:pStyle w:val="Compact"/>
            </w:pPr>
            <w:r>
              <w:t xml:space="preserve">4h</w:t>
            </w:r>
          </w:p>
        </w:tc>
      </w:tr>
      <w:tr>
        <w:tc>
          <w:tcPr/>
          <w:p>
            <w:pPr>
              <w:pStyle w:val="Compact"/>
            </w:pPr>
            <w:r>
              <w:t xml:space="preserve">Online account services (my Social Security)</w:t>
            </w:r>
          </w:p>
        </w:tc>
        <w:tc>
          <w:tcPr/>
          <w:p>
            <w:pPr>
              <w:pStyle w:val="Compact"/>
            </w:pPr>
            <w:r>
              <w:t xml:space="preserve">[SYSTEM]</w:t>
            </w:r>
          </w:p>
        </w:tc>
        <w:tc>
          <w:tcPr/>
          <w:p>
            <w:pPr>
              <w:pStyle w:val="Compact"/>
            </w:pPr>
            <w:r>
              <w:t xml:space="preserve">Service degradation</w:t>
            </w:r>
          </w:p>
        </w:tc>
        <w:tc>
          <w:tcPr/>
          <w:p>
            <w:pPr>
              <w:pStyle w:val="Compact"/>
            </w:pPr>
            <w:r>
              <w:t xml:space="preserve">8h</w:t>
            </w:r>
          </w:p>
        </w:tc>
        <w:tc>
          <w:tcPr/>
          <w:p>
            <w:pPr>
              <w:pStyle w:val="Compact"/>
            </w:pPr>
            <w:r>
              <w:t xml:space="preserve">2h</w:t>
            </w:r>
          </w:p>
        </w:tc>
      </w:tr>
      <w:tr>
        <w:tc>
          <w:tcPr/>
          <w:p>
            <w:pPr>
              <w:pStyle w:val="Compact"/>
            </w:pPr>
            <w:r>
              <w:t xml:space="preserve">Contact center CRM</w:t>
            </w:r>
          </w:p>
        </w:tc>
        <w:tc>
          <w:tcPr/>
          <w:p>
            <w:pPr>
              <w:pStyle w:val="Compact"/>
            </w:pPr>
            <w:r>
              <w:t xml:space="preserve">[SYSTEM]</w:t>
            </w:r>
          </w:p>
        </w:tc>
        <w:tc>
          <w:tcPr/>
          <w:p>
            <w:pPr>
              <w:pStyle w:val="Compact"/>
            </w:pPr>
            <w:r>
              <w:t xml:space="preserve">Citizen service impact</w:t>
            </w:r>
          </w:p>
        </w:tc>
        <w:tc>
          <w:tcPr/>
          <w:p>
            <w:pPr>
              <w:pStyle w:val="Compact"/>
            </w:pPr>
            <w:r>
              <w:t xml:space="preserve">4h</w:t>
            </w:r>
          </w:p>
        </w:tc>
        <w:tc>
          <w:tcPr/>
          <w:p>
            <w:pPr>
              <w:pStyle w:val="Compact"/>
            </w:pPr>
            <w:r>
              <w:t xml:space="preserve">1h</w:t>
            </w:r>
          </w:p>
        </w:tc>
      </w:tr>
    </w:tbl>
    <w:p>
      <w:pPr>
        <w:pStyle w:val="BlockText"/>
      </w:pPr>
      <w:r>
        <w:t xml:space="preserve">[FILLABLE] Complete the above table for all mission functions within the</w:t>
      </w:r>
      <w:r>
        <w:t xml:space="preserve"> </w:t>
      </w:r>
      <w:r>
        <w:t xml:space="preserve">authorization boundary. RTO/RPO values must align with the Contingency Plan</w:t>
      </w:r>
      <w:r>
        <w:t xml:space="preserve"> </w:t>
      </w:r>
      <w:r>
        <w:t xml:space="preserve">(CP controls, Vol IV Book 01) and the Business Impact Analysis (BIA).</w:t>
      </w:r>
    </w:p>
    <w:p>
      <w:r>
        <w:pict>
          <v:rect style="width:0;height:1.5pt" o:hralign="center" o:hrstd="t" o:hr="t"/>
        </w:pict>
      </w:r>
    </w:p>
    <w:bookmarkEnd w:id="92"/>
    <w:bookmarkEnd w:id="93"/>
    <w:bookmarkEnd w:id="94"/>
    <w:bookmarkStart w:id="98" w:name="Xc20d35fd8033d8726b77cf682068ef9b4ad18d8"/>
    <w:p>
      <w:pPr>
        <w:pStyle w:val="Heading1"/>
      </w:pPr>
      <w:r>
        <w:t xml:space="preserve">Program Leadership and Accountability (PM-2)</w:t>
      </w:r>
    </w:p>
    <w:bookmarkStart w:id="97" w:name="security-leadership-raci"/>
    <w:p>
      <w:pPr>
        <w:pStyle w:val="Heading2"/>
      </w:pPr>
      <w:r>
        <w:t xml:space="preserve">Security Leadership RACI</w:t>
      </w:r>
    </w:p>
    <w:p>
      <w:pPr>
        <w:pStyle w:val="FirstParagraph"/>
      </w:pPr>
      <w:r>
        <w:t xml:space="preserve">FedRAMP 20x requires named individuals in security leadership roles. The</w:t>
      </w:r>
      <w:r>
        <w:t xml:space="preserve"> </w:t>
      </w:r>
      <w:r>
        <w:t xml:space="preserve">following RACI (Responsible / Accountable / Consulted / Informed) matrix</w:t>
      </w:r>
      <w:r>
        <w:t xml:space="preserve"> </w:t>
      </w:r>
      <w:r>
        <w:t xml:space="preserve">defines accountabilities for security program activities.</w:t>
      </w:r>
    </w:p>
    <w:bookmarkStart w:id="95" w:name="role-definitions"/>
    <w:p>
      <w:pPr>
        <w:pStyle w:val="Heading3"/>
      </w:pPr>
      <w:r>
        <w:t xml:space="preserve">Role Definitions</w:t>
      </w:r>
    </w:p>
    <w:tbl>
      <w:tblPr>
        <w:tblStyle w:val="Table"/>
        <w:tblW w:type="pct" w:w="5000"/>
        <w:tblLayout w:type="fixed"/>
        <w:tblLook w:firstRow="1" w:lastRow="0" w:firstColumn="0" w:lastColumn="0" w:noHBand="0" w:noVBand="0" w:val="0020"/>
      </w:tblPr>
      <w:tblGrid>
        <w:gridCol w:w="1584"/>
        <w:gridCol w:w="1848"/>
        <w:gridCol w:w="4488"/>
      </w:tblGrid>
      <w:tr>
        <w:trPr>
          <w:tblHeader w:val="on"/>
        </w:trPr>
        <w:tc>
          <w:tcPr/>
          <w:p>
            <w:pPr>
              <w:pStyle w:val="Compact"/>
            </w:pPr>
            <w:r>
              <w:t xml:space="preserve">Role</w:t>
            </w:r>
          </w:p>
        </w:tc>
        <w:tc>
          <w:tcPr/>
          <w:p>
            <w:pPr>
              <w:pStyle w:val="Compact"/>
            </w:pPr>
            <w:r>
              <w:t xml:space="preserve">Title</w:t>
            </w:r>
          </w:p>
        </w:tc>
        <w:tc>
          <w:tcPr/>
          <w:p>
            <w:pPr>
              <w:pStyle w:val="Compact"/>
            </w:pPr>
            <w:r>
              <w:t xml:space="preserve">Responsibilities</w:t>
            </w:r>
          </w:p>
        </w:tc>
      </w:tr>
      <w:tr>
        <w:tc>
          <w:tcPr/>
          <w:p>
            <w:pPr>
              <w:pStyle w:val="Compact"/>
            </w:pPr>
            <w:r>
              <w:rPr>
                <w:b/>
                <w:bCs/>
              </w:rPr>
              <w:t xml:space="preserve">AO</w:t>
            </w:r>
          </w:p>
        </w:tc>
        <w:tc>
          <w:tcPr/>
          <w:p>
            <w:pPr>
              <w:pStyle w:val="Compact"/>
            </w:pPr>
            <w:r>
              <w:t xml:space="preserve">Authorizing Official</w:t>
            </w:r>
          </w:p>
        </w:tc>
        <w:tc>
          <w:tcPr/>
          <w:p>
            <w:pPr>
              <w:pStyle w:val="Compact"/>
            </w:pPr>
            <w:r>
              <w:t xml:space="preserve">Accepts organizational risk; signs ATO</w:t>
            </w:r>
          </w:p>
        </w:tc>
      </w:tr>
      <w:tr>
        <w:tc>
          <w:tcPr/>
          <w:p>
            <w:pPr>
              <w:pStyle w:val="Compact"/>
            </w:pPr>
            <w:r>
              <w:rPr>
                <w:b/>
                <w:bCs/>
              </w:rPr>
              <w:t xml:space="preserve">SAISO/CISO</w:t>
            </w:r>
          </w:p>
        </w:tc>
        <w:tc>
          <w:tcPr/>
          <w:p>
            <w:pPr>
              <w:pStyle w:val="Compact"/>
            </w:pPr>
            <w:r>
              <w:t xml:space="preserve">Chief Information Security Officer</w:t>
            </w:r>
          </w:p>
        </w:tc>
        <w:tc>
          <w:tcPr/>
          <w:p>
            <w:pPr>
              <w:pStyle w:val="Compact"/>
            </w:pPr>
            <w:r>
              <w:t xml:space="preserve">Owns the ISPP; chairs Security Council</w:t>
            </w:r>
          </w:p>
        </w:tc>
      </w:tr>
      <w:tr>
        <w:tc>
          <w:tcPr/>
          <w:p>
            <w:pPr>
              <w:pStyle w:val="Compact"/>
            </w:pPr>
            <w:r>
              <w:rPr>
                <w:b/>
                <w:bCs/>
              </w:rPr>
              <w:t xml:space="preserve">ISSO</w:t>
            </w:r>
          </w:p>
        </w:tc>
        <w:tc>
          <w:tcPr/>
          <w:p>
            <w:pPr>
              <w:pStyle w:val="Compact"/>
            </w:pPr>
            <w:r>
              <w:t xml:space="preserve">Information System Security Officer</w:t>
            </w:r>
          </w:p>
        </w:tc>
        <w:tc>
          <w:tcPr/>
          <w:p>
            <w:pPr>
              <w:pStyle w:val="Compact"/>
            </w:pPr>
            <w:r>
              <w:t xml:space="preserve">Day-to-day control operation; POA&amp;M</w:t>
            </w:r>
          </w:p>
        </w:tc>
      </w:tr>
      <w:tr>
        <w:tc>
          <w:tcPr/>
          <w:p>
            <w:pPr>
              <w:pStyle w:val="Compact"/>
            </w:pPr>
            <w:r>
              <w:rPr>
                <w:b/>
                <w:bCs/>
              </w:rPr>
              <w:t xml:space="preserve">AO Rep</w:t>
            </w:r>
          </w:p>
        </w:tc>
        <w:tc>
          <w:tcPr/>
          <w:p>
            <w:pPr>
              <w:pStyle w:val="Compact"/>
            </w:pPr>
            <w:r>
              <w:t xml:space="preserve">AO Representative</w:t>
            </w:r>
          </w:p>
        </w:tc>
        <w:tc>
          <w:tcPr/>
          <w:p>
            <w:pPr>
              <w:pStyle w:val="Compact"/>
            </w:pPr>
            <w:r>
              <w:t xml:space="preserve">Delegates AO oversight functions</w:t>
            </w:r>
          </w:p>
        </w:tc>
      </w:tr>
      <w:tr>
        <w:tc>
          <w:tcPr/>
          <w:p>
            <w:pPr>
              <w:pStyle w:val="Compact"/>
            </w:pPr>
            <w:r>
              <w:rPr>
                <w:b/>
                <w:bCs/>
              </w:rPr>
              <w:t xml:space="preserve">3PAO</w:t>
            </w:r>
          </w:p>
        </w:tc>
        <w:tc>
          <w:tcPr/>
          <w:p>
            <w:pPr>
              <w:pStyle w:val="Compact"/>
            </w:pPr>
            <w:r>
              <w:t xml:space="preserve">Third-Party Assessment Organization</w:t>
            </w:r>
          </w:p>
        </w:tc>
        <w:tc>
          <w:tcPr/>
          <w:p>
            <w:pPr>
              <w:pStyle w:val="Compact"/>
            </w:pPr>
            <w:r>
              <w:t xml:space="preserve">Annual security assessment</w:t>
            </w:r>
          </w:p>
        </w:tc>
      </w:tr>
      <w:tr>
        <w:tc>
          <w:tcPr/>
          <w:p>
            <w:pPr>
              <w:pStyle w:val="Compact"/>
            </w:pPr>
            <w:r>
              <w:rPr>
                <w:b/>
                <w:bCs/>
              </w:rPr>
              <w:t xml:space="preserve">Privacy Officer</w:t>
            </w:r>
          </w:p>
        </w:tc>
        <w:tc>
          <w:tcPr/>
          <w:p>
            <w:pPr>
              <w:pStyle w:val="Compact"/>
            </w:pPr>
            <w:r>
              <w:t xml:space="preserve">Privacy Program Manager</w:t>
            </w:r>
          </w:p>
        </w:tc>
        <w:tc>
          <w:tcPr/>
          <w:p>
            <w:pPr>
              <w:pStyle w:val="Compact"/>
            </w:pPr>
            <w:r>
              <w:t xml:space="preserve">PT controls; Privacy Impact Assessments</w:t>
            </w:r>
          </w:p>
        </w:tc>
      </w:tr>
      <w:tr>
        <w:tc>
          <w:tcPr/>
          <w:p>
            <w:pPr>
              <w:pStyle w:val="Compact"/>
            </w:pPr>
            <w:r>
              <w:rPr>
                <w:b/>
                <w:bCs/>
              </w:rPr>
              <w:t xml:space="preserve">DevSecOps Lead</w:t>
            </w:r>
          </w:p>
        </w:tc>
        <w:tc>
          <w:tcPr/>
          <w:p>
            <w:pPr>
              <w:pStyle w:val="Compact"/>
            </w:pPr>
            <w:r>
              <w:t xml:space="preserve">DevSecOps Team Lead</w:t>
            </w:r>
          </w:p>
        </w:tc>
        <w:tc>
          <w:tcPr/>
          <w:p>
            <w:pPr>
              <w:pStyle w:val="Compact"/>
            </w:pPr>
            <w:r>
              <w:t xml:space="preserve">CI/CD security gates; SBOM pipeline</w:t>
            </w:r>
          </w:p>
        </w:tc>
      </w:tr>
      <w:tr>
        <w:tc>
          <w:tcPr/>
          <w:p>
            <w:pPr>
              <w:pStyle w:val="Compact"/>
            </w:pPr>
            <w:r>
              <w:rPr>
                <w:b/>
                <w:bCs/>
              </w:rPr>
              <w:t xml:space="preserve">SOC Lead</w:t>
            </w:r>
          </w:p>
        </w:tc>
        <w:tc>
          <w:tcPr/>
          <w:p>
            <w:pPr>
              <w:pStyle w:val="Compact"/>
            </w:pPr>
            <w:r>
              <w:t xml:space="preserve">Security Operations Center Lead</w:t>
            </w:r>
          </w:p>
        </w:tc>
        <w:tc>
          <w:tcPr/>
          <w:p>
            <w:pPr>
              <w:pStyle w:val="Compact"/>
            </w:pPr>
            <w:r>
              <w:t xml:space="preserve">Sentinel monitoring; incident response</w:t>
            </w:r>
          </w:p>
        </w:tc>
      </w:tr>
    </w:tbl>
    <w:bookmarkEnd w:id="95"/>
    <w:bookmarkStart w:id="96" w:name="raci-matrix-key-program-activities"/>
    <w:p>
      <w:pPr>
        <w:pStyle w:val="Heading3"/>
      </w:pPr>
      <w:r>
        <w:t xml:space="preserve">RACI Matrix — Key Program Activities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Activity</w:t>
            </w:r>
          </w:p>
        </w:tc>
        <w:tc>
          <w:tcPr/>
          <w:p>
            <w:pPr>
              <w:pStyle w:val="Compact"/>
            </w:pPr>
            <w:r>
              <w:t xml:space="preserve">AO</w:t>
            </w:r>
          </w:p>
        </w:tc>
        <w:tc>
          <w:tcPr/>
          <w:p>
            <w:pPr>
              <w:pStyle w:val="Compact"/>
            </w:pPr>
            <w:r>
              <w:t xml:space="preserve">CISO</w:t>
            </w:r>
          </w:p>
        </w:tc>
        <w:tc>
          <w:tcPr/>
          <w:p>
            <w:pPr>
              <w:pStyle w:val="Compact"/>
            </w:pPr>
            <w:r>
              <w:t xml:space="preserve">ISSO</w:t>
            </w:r>
          </w:p>
        </w:tc>
        <w:tc>
          <w:tcPr/>
          <w:p>
            <w:pPr>
              <w:pStyle w:val="Compact"/>
            </w:pPr>
            <w:r>
              <w:t xml:space="preserve">DevSecOps</w:t>
            </w:r>
          </w:p>
        </w:tc>
        <w:tc>
          <w:tcPr/>
          <w:p>
            <w:pPr>
              <w:pStyle w:val="Compact"/>
            </w:pPr>
            <w:r>
              <w:t xml:space="preserve">SOC</w:t>
            </w:r>
          </w:p>
        </w:tc>
        <w:tc>
          <w:tcPr/>
          <w:p>
            <w:pPr>
              <w:pStyle w:val="Compact"/>
            </w:pPr>
            <w:r>
              <w:t xml:space="preserve">Privacy</w:t>
            </w:r>
          </w:p>
        </w:tc>
      </w:tr>
      <w:tr>
        <w:tc>
          <w:tcPr/>
          <w:p>
            <w:pPr>
              <w:pStyle w:val="Compact"/>
            </w:pPr>
            <w:r>
              <w:t xml:space="preserve">ATO decision</w:t>
            </w:r>
          </w:p>
        </w:tc>
        <w:tc>
          <w:tcPr/>
          <w:p>
            <w:pPr>
              <w:pStyle w:val="Compact"/>
            </w:pPr>
            <w:r>
              <w:rPr>
                <w:b/>
                <w:bCs/>
              </w:rPr>
              <w:t xml:space="preserve">A</w:t>
            </w:r>
          </w:p>
        </w:tc>
        <w:tc>
          <w:tcPr/>
          <w:p>
            <w:pPr>
              <w:pStyle w:val="Compact"/>
            </w:pPr>
            <w:r>
              <w:t xml:space="preserve">R</w:t>
            </w:r>
          </w:p>
        </w:tc>
        <w:tc>
          <w:tcPr/>
          <w:p>
            <w:pPr>
              <w:pStyle w:val="Compact"/>
            </w:pPr>
            <w:r>
              <w:t xml:space="preserve">C</w:t>
            </w:r>
          </w:p>
        </w:tc>
        <w:tc>
          <w:tcPr/>
          <w:p>
            <w:pPr>
              <w:pStyle w:val="Compact"/>
            </w:pPr>
            <w:r>
              <w:t xml:space="preserve">I</w:t>
            </w:r>
          </w:p>
        </w:tc>
        <w:tc>
          <w:tcPr/>
          <w:p>
            <w:pPr>
              <w:pStyle w:val="Compact"/>
            </w:pPr>
            <w:r>
              <w:t xml:space="preserve">I</w:t>
            </w:r>
          </w:p>
        </w:tc>
        <w:tc>
          <w:tcPr/>
          <w:p>
            <w:pPr>
              <w:pStyle w:val="Compact"/>
            </w:pPr>
            <w:r>
              <w:t xml:space="preserve">C</w:t>
            </w:r>
          </w:p>
        </w:tc>
      </w:tr>
      <w:tr>
        <w:tc>
          <w:tcPr/>
          <w:p>
            <w:pPr>
              <w:pStyle w:val="Compact"/>
            </w:pPr>
            <w:r>
              <w:t xml:space="preserve">Annual security assessment</w:t>
            </w:r>
          </w:p>
        </w:tc>
        <w:tc>
          <w:tcPr/>
          <w:p>
            <w:pPr>
              <w:pStyle w:val="Compact"/>
            </w:pPr>
            <w:r>
              <w:t xml:space="preserve">A</w:t>
            </w:r>
          </w:p>
        </w:tc>
        <w:tc>
          <w:tcPr/>
          <w:p>
            <w:pPr>
              <w:pStyle w:val="Compact"/>
            </w:pPr>
            <w:r>
              <w:rPr>
                <w:b/>
                <w:bCs/>
              </w:rP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r>
      <w:tr>
        <w:tc>
          <w:tcPr/>
          <w:p>
            <w:pPr>
              <w:pStyle w:val="Compact"/>
            </w:pPr>
            <w:r>
              <w:t xml:space="preserve">POA&amp;M management</w:t>
            </w:r>
          </w:p>
        </w:tc>
        <w:tc>
          <w:tcPr/>
          <w:p>
            <w:pPr>
              <w:pStyle w:val="Compact"/>
            </w:pPr>
            <w:r>
              <w:t xml:space="preserve">I</w:t>
            </w:r>
          </w:p>
        </w:tc>
        <w:tc>
          <w:tcPr/>
          <w:p>
            <w:pPr>
              <w:pStyle w:val="Compact"/>
            </w:pPr>
            <w:r>
              <w:t xml:space="preserve">A</w:t>
            </w:r>
          </w:p>
        </w:tc>
        <w:tc>
          <w:tcPr/>
          <w:p>
            <w:pPr>
              <w:pStyle w:val="Compact"/>
            </w:pPr>
            <w:r>
              <w:rPr>
                <w:b/>
                <w:bCs/>
              </w:rPr>
              <w:t xml:space="preserve">R</w:t>
            </w:r>
          </w:p>
        </w:tc>
        <w:tc>
          <w:tcPr/>
          <w:p>
            <w:pPr>
              <w:pStyle w:val="Compact"/>
            </w:pPr>
            <w:r>
              <w:t xml:space="preserve">C</w:t>
            </w:r>
          </w:p>
        </w:tc>
        <w:tc>
          <w:tcPr/>
          <w:p>
            <w:pPr>
              <w:pStyle w:val="Compact"/>
            </w:pPr>
            <w:r>
              <w:t xml:space="preserve">C</w:t>
            </w:r>
          </w:p>
        </w:tc>
        <w:tc>
          <w:tcPr/>
          <w:p>
            <w:pPr>
              <w:pStyle w:val="Compact"/>
            </w:pPr>
            <w:r>
              <w:t xml:space="preserve">I</w:t>
            </w:r>
          </w:p>
        </w:tc>
      </w:tr>
      <w:tr>
        <w:tc>
          <w:tcPr/>
          <w:p>
            <w:pPr>
              <w:pStyle w:val="Compact"/>
            </w:pPr>
            <w:r>
              <w:t xml:space="preserve">Incident response</w:t>
            </w:r>
          </w:p>
        </w:tc>
        <w:tc>
          <w:tcPr/>
          <w:p>
            <w:pPr>
              <w:pStyle w:val="Compact"/>
            </w:pPr>
            <w:r>
              <w:t xml:space="preserve">A</w:t>
            </w:r>
          </w:p>
        </w:tc>
        <w:tc>
          <w:tcPr/>
          <w:p>
            <w:pPr>
              <w:pStyle w:val="Compact"/>
            </w:pPr>
            <w:r>
              <w:t xml:space="preserve">R</w:t>
            </w:r>
          </w:p>
        </w:tc>
        <w:tc>
          <w:tcPr/>
          <w:p>
            <w:pPr>
              <w:pStyle w:val="Compact"/>
            </w:pPr>
            <w:r>
              <w:rPr>
                <w:b/>
                <w:bCs/>
              </w:rPr>
              <w:t xml:space="preserve">R</w:t>
            </w:r>
          </w:p>
        </w:tc>
        <w:tc>
          <w:tcPr/>
          <w:p>
            <w:pPr>
              <w:pStyle w:val="Compact"/>
            </w:pPr>
            <w:r>
              <w:t xml:space="preserve">C</w:t>
            </w:r>
          </w:p>
        </w:tc>
        <w:tc>
          <w:tcPr/>
          <w:p>
            <w:pPr>
              <w:pStyle w:val="Compact"/>
            </w:pPr>
            <w:r>
              <w:rPr>
                <w:b/>
                <w:bCs/>
              </w:rPr>
              <w:t xml:space="preserve">R</w:t>
            </w:r>
          </w:p>
        </w:tc>
        <w:tc>
          <w:tcPr/>
          <w:p>
            <w:pPr>
              <w:pStyle w:val="Compact"/>
            </w:pPr>
            <w:r>
              <w:t xml:space="preserve">C</w:t>
            </w:r>
          </w:p>
        </w:tc>
      </w:tr>
      <w:tr>
        <w:tc>
          <w:tcPr/>
          <w:p>
            <w:pPr>
              <w:pStyle w:val="Compact"/>
            </w:pPr>
            <w:r>
              <w:t xml:space="preserve">SBOM/VDR submission (BOD 26-04)</w:t>
            </w:r>
          </w:p>
        </w:tc>
        <w:tc>
          <w:tcPr/>
          <w:p>
            <w:pPr>
              <w:pStyle w:val="Compact"/>
            </w:pPr>
            <w:r>
              <w:t xml:space="preserve">I</w:t>
            </w:r>
          </w:p>
        </w:tc>
        <w:tc>
          <w:tcPr/>
          <w:p>
            <w:pPr>
              <w:pStyle w:val="Compact"/>
            </w:pPr>
            <w:r>
              <w:t xml:space="preserve">A</w:t>
            </w:r>
          </w:p>
        </w:tc>
        <w:tc>
          <w:tcPr/>
          <w:p>
            <w:pPr>
              <w:pStyle w:val="Compact"/>
            </w:pPr>
            <w:r>
              <w:t xml:space="preserve">R</w:t>
            </w:r>
          </w:p>
        </w:tc>
        <w:tc>
          <w:tcPr/>
          <w:p>
            <w:pPr>
              <w:pStyle w:val="Compact"/>
            </w:pPr>
            <w:r>
              <w:rPr>
                <w:b/>
                <w:bCs/>
              </w:rPr>
              <w:t xml:space="preserve">R</w:t>
            </w:r>
          </w:p>
        </w:tc>
        <w:tc>
          <w:tcPr/>
          <w:p>
            <w:pPr>
              <w:pStyle w:val="Compact"/>
            </w:pPr>
            <w:r>
              <w:t xml:space="preserve">I</w:t>
            </w:r>
          </w:p>
        </w:tc>
        <w:tc>
          <w:tcPr/>
          <w:p>
            <w:pPr>
              <w:pStyle w:val="Compact"/>
            </w:pPr>
            <w:r>
              <w:t xml:space="preserve">I</w:t>
            </w:r>
          </w:p>
        </w:tc>
      </w:tr>
      <w:tr>
        <w:tc>
          <w:tcPr/>
          <w:p>
            <w:pPr>
              <w:pStyle w:val="Compact"/>
            </w:pPr>
            <w:r>
              <w:t xml:space="preserve">KSI continuous monitoring</w:t>
            </w:r>
          </w:p>
        </w:tc>
        <w:tc>
          <w:tcPr/>
          <w:p>
            <w:pPr>
              <w:pStyle w:val="Compact"/>
            </w:pPr>
            <w:r>
              <w:t xml:space="preserve">I</w:t>
            </w:r>
          </w:p>
        </w:tc>
        <w:tc>
          <w:tcPr/>
          <w:p>
            <w:pPr>
              <w:pStyle w:val="Compact"/>
            </w:pPr>
            <w:r>
              <w:t xml:space="preserve">A</w:t>
            </w:r>
          </w:p>
        </w:tc>
        <w:tc>
          <w:tcPr/>
          <w:p>
            <w:pPr>
              <w:pStyle w:val="Compact"/>
            </w:pPr>
            <w:r>
              <w:t xml:space="preserve">R</w:t>
            </w:r>
          </w:p>
        </w:tc>
        <w:tc>
          <w:tcPr/>
          <w:p>
            <w:pPr>
              <w:pStyle w:val="Compact"/>
            </w:pPr>
            <w:r>
              <w:t xml:space="preserve">R</w:t>
            </w:r>
          </w:p>
        </w:tc>
        <w:tc>
          <w:tcPr/>
          <w:p>
            <w:pPr>
              <w:pStyle w:val="Compact"/>
            </w:pPr>
            <w:r>
              <w:rPr>
                <w:b/>
                <w:bCs/>
              </w:rPr>
              <w:t xml:space="preserve">R</w:t>
            </w:r>
          </w:p>
        </w:tc>
        <w:tc>
          <w:tcPr/>
          <w:p>
            <w:pPr>
              <w:pStyle w:val="Compact"/>
            </w:pPr>
            <w:r>
              <w:t xml:space="preserve">I</w:t>
            </w:r>
          </w:p>
        </w:tc>
      </w:tr>
      <w:tr>
        <w:tc>
          <w:tcPr/>
          <w:p>
            <w:pPr>
              <w:pStyle w:val="Compact"/>
            </w:pPr>
            <w:r>
              <w:t xml:space="preserve">Privacy Impact Assessment</w:t>
            </w:r>
          </w:p>
        </w:tc>
        <w:tc>
          <w:tcPr/>
          <w:p>
            <w:pPr>
              <w:pStyle w:val="Compact"/>
            </w:pPr>
            <w:r>
              <w:t xml:space="preserve">I</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I</w:t>
            </w:r>
          </w:p>
        </w:tc>
        <w:tc>
          <w:tcPr/>
          <w:p>
            <w:pPr>
              <w:pStyle w:val="Compact"/>
            </w:pPr>
            <w:r>
              <w:rPr>
                <w:b/>
                <w:bCs/>
              </w:rPr>
              <w:t xml:space="preserve">R</w:t>
            </w:r>
          </w:p>
        </w:tc>
      </w:tr>
      <w:tr>
        <w:tc>
          <w:tcPr/>
          <w:p>
            <w:pPr>
              <w:pStyle w:val="Compact"/>
            </w:pPr>
            <w:r>
              <w:t xml:space="preserve">Security training</w:t>
            </w:r>
          </w:p>
        </w:tc>
        <w:tc>
          <w:tcPr/>
          <w:p>
            <w:pPr>
              <w:pStyle w:val="Compact"/>
            </w:pPr>
            <w:r>
              <w:t xml:space="preserve">I</w:t>
            </w:r>
          </w:p>
        </w:tc>
        <w:tc>
          <w:tcPr/>
          <w:p>
            <w:pPr>
              <w:pStyle w:val="Compact"/>
            </w:pPr>
            <w:r>
              <w:rPr>
                <w:b/>
                <w:bCs/>
              </w:rPr>
              <w:t xml:space="preserve">A</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I</w:t>
            </w:r>
          </w:p>
        </w:tc>
      </w:tr>
    </w:tbl>
    <w:p>
      <w:pPr>
        <w:pStyle w:val="BlockText"/>
      </w:pPr>
      <w:r>
        <w:t xml:space="preserve">[FILLABLE] Replace role titles with named individuals. The AO and CISO</w:t>
      </w:r>
      <w:r>
        <w:t xml:space="preserve"> </w:t>
      </w:r>
      <w:r>
        <w:t xml:space="preserve">must be Agency employees; the ISSO may be a contractor with documented oversight.</w:t>
      </w:r>
      <w:r>
        <w:t xml:space="preserve"> </w:t>
      </w:r>
      <w:r>
        <w:t xml:space="preserve">The 3PAO must be FedRAMP-recognized.</w:t>
      </w:r>
    </w:p>
    <w:p>
      <w:pPr>
        <w:pStyle w:val="FirstParagraph"/>
      </w:pPr>
      <w:r>
        <w:t xml:space="preserve">} employees, the ISSO may be a contractor with documented oversight, and the 3PAO must be FedRAMP-recognized. A summary banner states a RACI with role titles is a template, but a RACI with named individuals against each activity is the PM-2 evidence artifact. White background. Source: Vol IV Book 03 Program Management &amp; Governance briefing deck, Date Code 2026-07-09 17:00 ET.” width=</w:t>
      </w:r>
      <w:r>
        <w:t xml:space="preserve">“100%”</w:t>
      </w:r>
      <w:r>
        <w:t xml:space="preserve">}</w:t>
      </w:r>
    </w:p>
    <w:p>
      <w:r>
        <w:pict>
          <v:rect style="width:0;height:1.5pt" o:hralign="center" o:hrstd="t" o:hr="t"/>
        </w:pict>
      </w:r>
    </w:p>
    <w:bookmarkEnd w:id="96"/>
    <w:bookmarkEnd w:id="97"/>
    <w:bookmarkEnd w:id="98"/>
    <w:bookmarkStart w:id="102" w:name="system-inventory-framework-pm-5"/>
    <w:p>
      <w:pPr>
        <w:pStyle w:val="Heading1"/>
      </w:pPr>
      <w:r>
        <w:t xml:space="preserve">System Inventory Framework (PM-5)</w:t>
      </w:r>
    </w:p>
    <w:bookmarkStart w:id="99" w:name="inventory-requirements"/>
    <w:p>
      <w:pPr>
        <w:pStyle w:val="Heading2"/>
      </w:pPr>
      <w:r>
        <w:t xml:space="preserve">Inventory Requirements</w:t>
      </w:r>
    </w:p>
    <w:p>
      <w:pPr>
        <w:pStyle w:val="FirstParagraph"/>
      </w:pPr>
      <w:r>
        <w:t xml:space="preserve">NIST SP 800-53 PM-5 requires a current, complete inventory of all system</w:t>
      </w:r>
      <w:r>
        <w:t xml:space="preserve"> </w:t>
      </w:r>
      <w:r>
        <w:t xml:space="preserve">components within the authorization boundary. FedRAMP 20x additionally</w:t>
      </w:r>
      <w:r>
        <w:t xml:space="preserve"> </w:t>
      </w:r>
      <w:r>
        <w:t xml:space="preserve">requires that the inventory be machine-readable and kept in sync with</w:t>
      </w:r>
      <w:r>
        <w:t xml:space="preserve"> </w:t>
      </w:r>
      <w:r>
        <w:t xml:space="preserve">the deployed state.</w:t>
      </w:r>
    </w:p>
    <w:bookmarkEnd w:id="99"/>
    <w:bookmarkStart w:id="100" w:name="automation-approach"/>
    <w:p>
      <w:pPr>
        <w:pStyle w:val="Heading2"/>
      </w:pPr>
      <w:r>
        <w:t xml:space="preserve">Automation Approach</w:t>
      </w:r>
    </w:p>
    <w:p>
      <w:pPr>
        <w:pStyle w:val="FirstParagraph"/>
      </w:pPr>
      <w:r>
        <w:t xml:space="preserve">The Agency system inventory is maintained through a three-layer approach:</w:t>
      </w:r>
    </w:p>
    <w:p>
      <w:pPr>
        <w:pStyle w:val="BodyText"/>
      </w:pPr>
      <w:r>
        <w:rPr>
          <w:b/>
          <w:bCs/>
        </w:rPr>
        <w:t xml:space="preserve">Layer 1 — Infrastructure Inventory (Automated)</w:t>
      </w:r>
    </w:p>
    <w:p>
      <w:pPr>
        <w:pStyle w:val="BodyText"/>
      </w:pPr>
      <w:r>
        <w:t xml:space="preserve">Azure Resource Graph queries provide real-time inventory of all Azure resources</w:t>
      </w:r>
      <w:r>
        <w:t xml:space="preserve"> </w:t>
      </w:r>
      <w:r>
        <w:t xml:space="preserve">within the authorization boundary subscription(s). A scheduled Logic App</w:t>
      </w:r>
      <w:r>
        <w:t xml:space="preserve"> </w:t>
      </w:r>
      <w:r>
        <w:t xml:space="preserve">exports the inventory to a structured JSON format every 24 hours.</w:t>
      </w:r>
    </w:p>
    <w:p>
      <w:pPr>
        <w:pStyle w:val="SourceCode"/>
      </w:pPr>
      <w:r>
        <w:rPr>
          <w:rStyle w:val="VerbatimChar"/>
        </w:rPr>
        <w:t xml:space="preserve">// Azure Resource Graph — authorization boundary inventory</w:t>
      </w:r>
      <w:r>
        <w:br/>
      </w:r>
      <w:r>
        <w:rPr>
          <w:rStyle w:val="VerbatimChar"/>
        </w:rPr>
        <w:t xml:space="preserve">resources</w:t>
      </w:r>
      <w:r>
        <w:br/>
      </w:r>
      <w:r>
        <w:rPr>
          <w:rStyle w:val="VerbatimChar"/>
        </w:rPr>
        <w:t xml:space="preserve">| where subscriptionId in ("[SUBSCRIPTION_IDS]")</w:t>
      </w:r>
      <w:r>
        <w:br/>
      </w:r>
      <w:r>
        <w:rPr>
          <w:rStyle w:val="VerbatimChar"/>
        </w:rPr>
        <w:t xml:space="preserve">| project</w:t>
      </w:r>
      <w:r>
        <w:br/>
      </w:r>
      <w:r>
        <w:rPr>
          <w:rStyle w:val="VerbatimChar"/>
        </w:rPr>
        <w:t xml:space="preserve">    resourceId = id,</w:t>
      </w:r>
      <w:r>
        <w:br/>
      </w:r>
      <w:r>
        <w:rPr>
          <w:rStyle w:val="VerbatimChar"/>
        </w:rPr>
        <w:t xml:space="preserve">    resourceType = type,</w:t>
      </w:r>
      <w:r>
        <w:br/>
      </w:r>
      <w:r>
        <w:rPr>
          <w:rStyle w:val="VerbatimChar"/>
        </w:rPr>
        <w:t xml:space="preserve">    resourceName = name,</w:t>
      </w:r>
      <w:r>
        <w:br/>
      </w:r>
      <w:r>
        <w:rPr>
          <w:rStyle w:val="VerbatimChar"/>
        </w:rPr>
        <w:t xml:space="preserve">    location,</w:t>
      </w:r>
      <w:r>
        <w:br/>
      </w:r>
      <w:r>
        <w:rPr>
          <w:rStyle w:val="VerbatimChar"/>
        </w:rPr>
        <w:t xml:space="preserve">    resourceGroup,</w:t>
      </w:r>
      <w:r>
        <w:br/>
      </w:r>
      <w:r>
        <w:rPr>
          <w:rStyle w:val="VerbatimChar"/>
        </w:rPr>
        <w:t xml:space="preserve">    tags,</w:t>
      </w:r>
      <w:r>
        <w:br/>
      </w:r>
      <w:r>
        <w:rPr>
          <w:rStyle w:val="VerbatimChar"/>
        </w:rPr>
        <w:t xml:space="preserve">    properties</w:t>
      </w:r>
      <w:r>
        <w:br/>
      </w:r>
      <w:r>
        <w:rPr>
          <w:rStyle w:val="VerbatimChar"/>
        </w:rPr>
        <w:t xml:space="preserve">| order by resourceType, resourceName</w:t>
      </w:r>
    </w:p>
    <w:p>
      <w:pPr>
        <w:pStyle w:val="FirstParagraph"/>
      </w:pPr>
      <w:r>
        <w:rPr>
          <w:b/>
          <w:bCs/>
        </w:rPr>
        <w:t xml:space="preserve">Layer 2 — Software Inventory (SBOM)</w:t>
      </w:r>
    </w:p>
    <w:p>
      <w:pPr>
        <w:pStyle w:val="BodyText"/>
      </w:pPr>
      <w:r>
        <w:t xml:space="preserve">Vol IV Book 02 establishes the SBOM pipeline using Syft. Every container image</w:t>
      </w:r>
      <w:r>
        <w:t xml:space="preserve"> </w:t>
      </w:r>
      <w:r>
        <w:t xml:space="preserve">deployed in production generates a CycloneDX 1.6 SBOM at build time. The</w:t>
      </w:r>
      <w:r>
        <w:t xml:space="preserve"> </w:t>
      </w:r>
      <w:r>
        <w:t xml:space="preserve">SBOM manifest is the machine-readable software component inventory.</w:t>
      </w:r>
    </w:p>
    <w:p>
      <w:pPr>
        <w:pStyle w:val="BodyText"/>
      </w:pPr>
      <w:r>
        <w:t xml:space="preserve">Reconciliation between the infrastructure inventory (Layer 1) and the SBOM</w:t>
      </w:r>
      <w:r>
        <w:t xml:space="preserve"> </w:t>
      </w:r>
      <w:r>
        <w:t xml:space="preserve">inventory (Layer 2) is performed monthly by the DevSecOps team. Discrepancies</w:t>
      </w:r>
      <w:r>
        <w:t xml:space="preserve"> </w:t>
      </w:r>
      <w:r>
        <w:t xml:space="preserve">are logged as POA&amp;M items if not resolved within 30 days.</w:t>
      </w:r>
    </w:p>
    <w:p>
      <w:pPr>
        <w:pStyle w:val="BodyText"/>
      </w:pPr>
      <w:r>
        <w:rPr>
          <w:b/>
          <w:bCs/>
        </w:rPr>
        <w:t xml:space="preserve">Layer 3 — Personnel and Account Inventory (Identity)</w:t>
      </w:r>
    </w:p>
    <w:p>
      <w:pPr>
        <w:pStyle w:val="BodyText"/>
      </w:pPr>
      <w:r>
        <w:t xml:space="preserve">Entra ID (Vol I Book 05) provides the authoritative account inventory. The ISSO</w:t>
      </w:r>
      <w:r>
        <w:t xml:space="preserve"> </w:t>
      </w:r>
      <w:r>
        <w:t xml:space="preserve">reviews privileged account counts weekly (referenced by KSI-003). The</w:t>
      </w:r>
      <w:r>
        <w:t xml:space="preserve"> </w:t>
      </w:r>
      <w:r>
        <w:t xml:space="preserve">Vol I Book 05 evidence artifacts satisfy CM-8(2) automated inventory maintenance for</w:t>
      </w:r>
      <w:r>
        <w:t xml:space="preserve"> </w:t>
      </w:r>
      <w:r>
        <w:t xml:space="preserve">the identity plane.</w:t>
      </w:r>
    </w:p>
    <w:bookmarkEnd w:id="100"/>
    <w:bookmarkStart w:id="101" w:name="inventory-template"/>
    <w:p>
      <w:pPr>
        <w:pStyle w:val="Heading2"/>
      </w:pPr>
      <w:r>
        <w:t xml:space="preserve">Inventory Template</w:t>
      </w:r>
    </w:p>
    <w:p>
      <w:pPr>
        <w:pStyle w:val="BlockText"/>
      </w:pPr>
      <w:r>
        <w:t xml:space="preserve">[FILLABLE] Complete the following inventory for all components within the</w:t>
      </w:r>
      <w:r>
        <w:t xml:space="preserve"> </w:t>
      </w:r>
      <w:r>
        <w:t xml:space="preserve">authorization boundary:</w:t>
      </w:r>
    </w:p>
    <w:tbl>
      <w:tblPr>
        <w:tblStyle w:val="Table"/>
        <w:tblW w:type="pct" w:w="5000"/>
        <w:tblLayout w:type="fixed"/>
        <w:tblLook w:firstRow="1" w:lastRow="0" w:firstColumn="0" w:lastColumn="0" w:noHBand="0" w:noVBand="0" w:val="0020"/>
      </w:tblPr>
      <w:tblGrid>
        <w:gridCol w:w="1354"/>
        <w:gridCol w:w="1667"/>
        <w:gridCol w:w="625"/>
        <w:gridCol w:w="1042"/>
        <w:gridCol w:w="729"/>
        <w:gridCol w:w="937"/>
        <w:gridCol w:w="1563"/>
      </w:tblGrid>
      <w:tr>
        <w:trPr>
          <w:tblHeader w:val="on"/>
        </w:trPr>
        <w:tc>
          <w:tcPr/>
          <w:p>
            <w:pPr>
              <w:pStyle w:val="Compact"/>
            </w:pPr>
            <w:r>
              <w:t xml:space="preserve">Component ID</w:t>
            </w:r>
          </w:p>
        </w:tc>
        <w:tc>
          <w:tcPr/>
          <w:p>
            <w:pPr>
              <w:pStyle w:val="Compact"/>
            </w:pPr>
            <w:r>
              <w:t xml:space="preserve">Component Name</w:t>
            </w:r>
          </w:p>
        </w:tc>
        <w:tc>
          <w:tcPr/>
          <w:p>
            <w:pPr>
              <w:pStyle w:val="Compact"/>
            </w:pPr>
            <w:r>
              <w:t xml:space="preserve">Type</w:t>
            </w:r>
          </w:p>
        </w:tc>
        <w:tc>
          <w:tcPr/>
          <w:p>
            <w:pPr>
              <w:pStyle w:val="Compact"/>
            </w:pPr>
            <w:r>
              <w:t xml:space="preserve">Location</w:t>
            </w:r>
          </w:p>
        </w:tc>
        <w:tc>
          <w:tcPr/>
          <w:p>
            <w:pPr>
              <w:pStyle w:val="Compact"/>
            </w:pPr>
            <w:r>
              <w:t xml:space="preserve">Owner</w:t>
            </w:r>
          </w:p>
        </w:tc>
        <w:tc>
          <w:tcPr/>
          <w:p>
            <w:pPr>
              <w:pStyle w:val="Compact"/>
            </w:pPr>
            <w:r>
              <w:t xml:space="preserve">SBOM ID</w:t>
            </w:r>
          </w:p>
        </w:tc>
        <w:tc>
          <w:tcPr/>
          <w:p>
            <w:pPr>
              <w:pStyle w:val="Compact"/>
            </w:pPr>
            <w:r>
              <w:t xml:space="preserve">Last Reviewed</w:t>
            </w:r>
          </w:p>
        </w:tc>
      </w:tr>
      <w:tr>
        <w:tc>
          <w:tcPr/>
          <w:p>
            <w:pPr>
              <w:pStyle w:val="Compact"/>
            </w:pPr>
            <w:r>
              <w:t xml:space="preserve">[ID]</w:t>
            </w:r>
          </w:p>
        </w:tc>
        <w:tc>
          <w:tcPr/>
          <w:p>
            <w:pPr>
              <w:pStyle w:val="Compact"/>
            </w:pPr>
            <w:r>
              <w:t xml:space="preserve">[Name]</w:t>
            </w:r>
          </w:p>
        </w:tc>
        <w:tc>
          <w:tcPr/>
          <w:p>
            <w:pPr>
              <w:pStyle w:val="Compact"/>
            </w:pPr>
            <w:r>
              <w:t xml:space="preserve">[Server/Container/SaaS/Network]</w:t>
            </w:r>
          </w:p>
        </w:tc>
        <w:tc>
          <w:tcPr/>
          <w:p>
            <w:pPr>
              <w:pStyle w:val="Compact"/>
            </w:pPr>
            <w:r>
              <w:t xml:space="preserve">[Azure Region]</w:t>
            </w:r>
          </w:p>
        </w:tc>
        <w:tc>
          <w:tcPr/>
          <w:p>
            <w:pPr>
              <w:pStyle w:val="Compact"/>
            </w:pPr>
            <w:r>
              <w:t xml:space="preserve">[Team]</w:t>
            </w:r>
          </w:p>
        </w:tc>
        <w:tc>
          <w:tcPr/>
          <w:p>
            <w:pPr>
              <w:pStyle w:val="Compact"/>
            </w:pPr>
            <w:r>
              <w:t xml:space="preserve">[SHA256]</w:t>
            </w:r>
          </w:p>
        </w:tc>
        <w:tc>
          <w:tcPr/>
          <w:p>
            <w:pPr>
              <w:pStyle w:val="Compact"/>
            </w:pPr>
            <w:r>
              <w:t xml:space="preserve">[Date]</w:t>
            </w:r>
          </w:p>
        </w:tc>
      </w:tr>
    </w:tbl>
    <w:p>
      <w:r>
        <w:pict>
          <v:rect style="width:0;height:1.5pt" o:hralign="center" o:hrstd="t" o:hr="t"/>
        </w:pict>
      </w:r>
    </w:p>
    <w:bookmarkEnd w:id="101"/>
    <w:bookmarkEnd w:id="102"/>
    <w:bookmarkStart w:id="107" w:name="risk-management-strategy-pm-9"/>
    <w:p>
      <w:pPr>
        <w:pStyle w:val="Heading1"/>
      </w:pPr>
      <w:r>
        <w:t xml:space="preserve">Risk Management Strategy (PM-9)</w:t>
      </w:r>
    </w:p>
    <w:bookmarkStart w:id="103" w:name="risk-management-framework"/>
    <w:p>
      <w:pPr>
        <w:pStyle w:val="Heading2"/>
      </w:pPr>
      <w:r>
        <w:t xml:space="preserve">Risk Management Framework</w:t>
      </w:r>
    </w:p>
    <w:p>
      <w:pPr>
        <w:pStyle w:val="FirstParagraph"/>
      </w:pPr>
      <w:r>
        <w:t xml:space="preserve">Agency’s risk management strategy follows NIST SP 800-39 (Managing Information</w:t>
      </w:r>
      <w:r>
        <w:t xml:space="preserve"> </w:t>
      </w:r>
      <w:r>
        <w:t xml:space="preserve">Security Risk) at three tiers:</w:t>
      </w:r>
    </w:p>
    <w:p>
      <w:pPr>
        <w:pStyle w:val="Compact"/>
        <w:numPr>
          <w:ilvl w:val="0"/>
          <w:numId w:val="1022"/>
        </w:numPr>
      </w:pPr>
      <w:r>
        <w:rPr>
          <w:b/>
          <w:bCs/>
        </w:rPr>
        <w:t xml:space="preserve">Tier 1 (Organization):</w:t>
      </w:r>
      <w:r>
        <w:t xml:space="preserve"> </w:t>
      </w:r>
      <w:r>
        <w:t xml:space="preserve">Risk framing — risk tolerance, risk assumptions,</w:t>
      </w:r>
      <w:r>
        <w:t xml:space="preserve"> </w:t>
      </w:r>
      <w:r>
        <w:t xml:space="preserve">risk constraints, priorities, and trade-offs defined by Agency leadership</w:t>
      </w:r>
    </w:p>
    <w:p>
      <w:pPr>
        <w:pStyle w:val="Compact"/>
        <w:numPr>
          <w:ilvl w:val="0"/>
          <w:numId w:val="1022"/>
        </w:numPr>
      </w:pPr>
      <w:r>
        <w:rPr>
          <w:b/>
          <w:bCs/>
        </w:rPr>
        <w:t xml:space="preserve">Tier 2 (Mission/Process):</w:t>
      </w:r>
      <w:r>
        <w:t xml:space="preserve"> </w:t>
      </w:r>
      <w:r>
        <w:t xml:space="preserve">Risk assessment — enterprise-level risk</w:t>
      </w:r>
      <w:r>
        <w:t xml:space="preserve"> </w:t>
      </w:r>
      <w:r>
        <w:t xml:space="preserve">register maintained by the CISO</w:t>
      </w:r>
    </w:p>
    <w:p>
      <w:pPr>
        <w:pStyle w:val="Compact"/>
        <w:numPr>
          <w:ilvl w:val="0"/>
          <w:numId w:val="1022"/>
        </w:numPr>
      </w:pPr>
      <w:r>
        <w:rPr>
          <w:b/>
          <w:bCs/>
        </w:rPr>
        <w:t xml:space="preserve">Tier 3 (System):</w:t>
      </w:r>
      <w:r>
        <w:t xml:space="preserve"> </w:t>
      </w:r>
      <w:r>
        <w:t xml:space="preserve">Risk response — system-level POA&amp;M, continuous</w:t>
      </w:r>
      <w:r>
        <w:t xml:space="preserve"> </w:t>
      </w:r>
      <w:r>
        <w:t xml:space="preserve">monitoring, authorization decisions</w:t>
      </w:r>
    </w:p>
    <w:bookmarkEnd w:id="103"/>
    <w:bookmarkStart w:id="104" w:name="risk-appetite-statement"/>
    <w:p>
      <w:pPr>
        <w:pStyle w:val="Heading2"/>
      </w:pPr>
      <w:r>
        <w:t xml:space="preserve">Risk Appetite Statement</w:t>
      </w:r>
    </w:p>
    <w:p>
      <w:pPr>
        <w:pStyle w:val="BlockText"/>
      </w:pPr>
      <w:r>
        <w:t xml:space="preserve">[FILLABLE — requires CISO and AO sign-off]</w:t>
      </w:r>
    </w:p>
    <w:p>
      <w:pPr>
        <w:pStyle w:val="BlockText"/>
      </w:pPr>
      <w:r>
        <w:t xml:space="preserve">Agency accepts residual risk at the Moderate impact level for systems that</w:t>
      </w:r>
      <w:r>
        <w:t xml:space="preserve"> </w:t>
      </w:r>
      <w:r>
        <w:t xml:space="preserve">process citizen benefit data, consistent with FIPS 199 categorization.</w:t>
      </w:r>
      <w:r>
        <w:t xml:space="preserve"> </w:t>
      </w:r>
      <w:r>
        <w:t xml:space="preserve">The organization’s risk tolerance for the following categories is:</w:t>
      </w:r>
    </w:p>
    <w:tbl>
      <w:tblPr>
        <w:tblStyle w:val="Table"/>
        <w:tblW w:type="pct" w:w="5000"/>
        <w:tblLayout w:type="fixed"/>
        <w:tblLook w:firstRow="1" w:lastRow="0" w:firstColumn="0" w:lastColumn="0" w:noHBand="0" w:noVBand="0" w:val="0020"/>
      </w:tblPr>
      <w:tblGrid>
        <w:gridCol w:w="3210"/>
        <w:gridCol w:w="2354"/>
        <w:gridCol w:w="2354"/>
      </w:tblGrid>
      <w:tr>
        <w:trPr>
          <w:tblHeader w:val="on"/>
        </w:trPr>
        <w:tc>
          <w:tcPr/>
          <w:p>
            <w:pPr>
              <w:pStyle w:val="Compact"/>
            </w:pPr>
            <w:r>
              <w:t xml:space="preserve">Risk Category</w:t>
            </w:r>
          </w:p>
        </w:tc>
        <w:tc>
          <w:tcPr/>
          <w:p>
            <w:pPr>
              <w:pStyle w:val="Compact"/>
            </w:pPr>
            <w:r>
              <w:t xml:space="preserve">Tolerance</w:t>
            </w:r>
          </w:p>
        </w:tc>
        <w:tc>
          <w:tcPr/>
          <w:p>
            <w:pPr>
              <w:pStyle w:val="Compact"/>
            </w:pPr>
            <w:r>
              <w:t xml:space="preserve">Rationale</w:t>
            </w:r>
          </w:p>
        </w:tc>
      </w:tr>
      <w:tr>
        <w:tc>
          <w:tcPr/>
          <w:p>
            <w:pPr>
              <w:pStyle w:val="Compact"/>
            </w:pPr>
            <w:r>
              <w:t xml:space="preserve">Availability</w:t>
            </w:r>
          </w:p>
        </w:tc>
        <w:tc>
          <w:tcPr/>
          <w:p>
            <w:pPr>
              <w:pStyle w:val="Compact"/>
            </w:pPr>
            <w:r>
              <w:t xml:space="preserve">Low (RTO ≤ 4h for critical)</w:t>
            </w:r>
          </w:p>
        </w:tc>
        <w:tc>
          <w:tcPr/>
          <w:p>
            <w:pPr>
              <w:pStyle w:val="Compact"/>
            </w:pPr>
            <w:r>
              <w:t xml:space="preserve">Benefit payment continuity</w:t>
            </w:r>
          </w:p>
        </w:tc>
      </w:tr>
      <w:tr>
        <w:tc>
          <w:tcPr/>
          <w:p>
            <w:pPr>
              <w:pStyle w:val="Compact"/>
            </w:pPr>
            <w:r>
              <w:t xml:space="preserve">Confidentiality — PII</w:t>
            </w:r>
          </w:p>
        </w:tc>
        <w:tc>
          <w:tcPr/>
          <w:p>
            <w:pPr>
              <w:pStyle w:val="Compact"/>
            </w:pPr>
            <w:r>
              <w:t xml:space="preserve">Very Low</w:t>
            </w:r>
          </w:p>
        </w:tc>
        <w:tc>
          <w:tcPr/>
          <w:p>
            <w:pPr>
              <w:pStyle w:val="Compact"/>
            </w:pPr>
            <w:r>
              <w:t xml:space="preserve">Citizen trust; statutory obligation</w:t>
            </w:r>
          </w:p>
        </w:tc>
      </w:tr>
      <w:tr>
        <w:tc>
          <w:tcPr/>
          <w:p>
            <w:pPr>
              <w:pStyle w:val="Compact"/>
            </w:pPr>
            <w:r>
              <w:t xml:space="preserve">Confidentiality — Internal</w:t>
            </w:r>
          </w:p>
        </w:tc>
        <w:tc>
          <w:tcPr/>
          <w:p>
            <w:pPr>
              <w:pStyle w:val="Compact"/>
            </w:pPr>
            <w:r>
              <w:t xml:space="preserve">Moderate</w:t>
            </w:r>
          </w:p>
        </w:tc>
        <w:tc>
          <w:tcPr/>
          <w:p>
            <w:pPr>
              <w:pStyle w:val="Compact"/>
            </w:pPr>
            <w:r>
              <w:t xml:space="preserve">Business operations</w:t>
            </w:r>
          </w:p>
        </w:tc>
      </w:tr>
      <w:tr>
        <w:tc>
          <w:tcPr/>
          <w:p>
            <w:pPr>
              <w:pStyle w:val="Compact"/>
            </w:pPr>
            <w:r>
              <w:t xml:space="preserve">Integrity</w:t>
            </w:r>
          </w:p>
        </w:tc>
        <w:tc>
          <w:tcPr/>
          <w:p>
            <w:pPr>
              <w:pStyle w:val="Compact"/>
            </w:pPr>
            <w:r>
              <w:t xml:space="preserve">Low</w:t>
            </w:r>
          </w:p>
        </w:tc>
        <w:tc>
          <w:tcPr/>
          <w:p>
            <w:pPr>
              <w:pStyle w:val="Compact"/>
            </w:pPr>
            <w:r>
              <w:t xml:space="preserve">Payment accuracy; audit trail</w:t>
            </w:r>
          </w:p>
        </w:tc>
      </w:tr>
      <w:tr>
        <w:tc>
          <w:tcPr/>
          <w:p>
            <w:pPr>
              <w:pStyle w:val="Compact"/>
            </w:pPr>
            <w:r>
              <w:t xml:space="preserve">Supply Chain</w:t>
            </w:r>
          </w:p>
        </w:tc>
        <w:tc>
          <w:tcPr/>
          <w:p>
            <w:pPr>
              <w:pStyle w:val="Compact"/>
            </w:pPr>
            <w:r>
              <w:t xml:space="preserve">Low</w:t>
            </w:r>
          </w:p>
        </w:tc>
        <w:tc>
          <w:tcPr/>
          <w:p>
            <w:pPr>
              <w:pStyle w:val="Compact"/>
            </w:pPr>
            <w:r>
              <w:t xml:space="preserve">BOD 26-04 and EO 14028 mandate</w:t>
            </w:r>
          </w:p>
        </w:tc>
      </w:tr>
    </w:tbl>
    <w:bookmarkEnd w:id="104"/>
    <w:bookmarkStart w:id="105" w:name="risk-register-format"/>
    <w:p>
      <w:pPr>
        <w:pStyle w:val="Heading2"/>
      </w:pPr>
      <w:r>
        <w:t xml:space="preserve">Risk Register Format</w:t>
      </w:r>
    </w:p>
    <w:p>
      <w:pPr>
        <w:pStyle w:val="FirstParagraph"/>
      </w:pPr>
      <w:r>
        <w:t xml:space="preserve">The Agency enterprise risk register is maintained in the POA&amp;M tracker and</w:t>
      </w:r>
      <w:r>
        <w:t xml:space="preserve"> </w:t>
      </w:r>
      <w:r>
        <w:t xml:space="preserve">reviewed monthly by the ISSO, quarterly by the CISO.</w:t>
      </w:r>
    </w:p>
    <w:tbl>
      <w:tblPr>
        <w:tblStyle w:val="Table"/>
        <w:tblW w:type="pct" w:w="5000"/>
        <w:tblLayout w:type="fixed"/>
        <w:tblLook w:firstRow="1" w:lastRow="0" w:firstColumn="0" w:lastColumn="0" w:noHBand="0" w:noVBand="0" w:val="0020"/>
      </w:tblPr>
      <w:tblGrid>
        <w:gridCol w:w="925"/>
        <w:gridCol w:w="925"/>
        <w:gridCol w:w="1337"/>
        <w:gridCol w:w="1131"/>
        <w:gridCol w:w="822"/>
        <w:gridCol w:w="720"/>
        <w:gridCol w:w="720"/>
        <w:gridCol w:w="822"/>
        <w:gridCol w:w="514"/>
      </w:tblGrid>
      <w:tr>
        <w:trPr>
          <w:tblHeader w:val="on"/>
        </w:trPr>
        <w:tc>
          <w:tcPr/>
          <w:p>
            <w:pPr>
              <w:pStyle w:val="Compact"/>
            </w:pPr>
            <w:r>
              <w:t xml:space="preserve">Risk ID</w:t>
            </w:r>
          </w:p>
        </w:tc>
        <w:tc>
          <w:tcPr/>
          <w:p>
            <w:pPr>
              <w:pStyle w:val="Compact"/>
            </w:pPr>
            <w:r>
              <w:t xml:space="preserve">Control</w:t>
            </w:r>
          </w:p>
        </w:tc>
        <w:tc>
          <w:tcPr/>
          <w:p>
            <w:pPr>
              <w:pStyle w:val="Compact"/>
            </w:pPr>
            <w:r>
              <w:t xml:space="preserve">Description</w:t>
            </w:r>
          </w:p>
        </w:tc>
        <w:tc>
          <w:tcPr/>
          <w:p>
            <w:pPr>
              <w:pStyle w:val="Compact"/>
            </w:pPr>
            <w:r>
              <w:t xml:space="preserve">Likelihood</w:t>
            </w:r>
          </w:p>
        </w:tc>
        <w:tc>
          <w:tcPr/>
          <w:p>
            <w:pPr>
              <w:pStyle w:val="Compact"/>
            </w:pPr>
            <w:r>
              <w:t xml:space="preserve">Impact</w:t>
            </w:r>
          </w:p>
        </w:tc>
        <w:tc>
          <w:tcPr/>
          <w:p>
            <w:pPr>
              <w:pStyle w:val="Compact"/>
            </w:pPr>
            <w:r>
              <w:t xml:space="preserve">Score</w:t>
            </w:r>
          </w:p>
        </w:tc>
        <w:tc>
          <w:tcPr/>
          <w:p>
            <w:pPr>
              <w:pStyle w:val="Compact"/>
            </w:pPr>
            <w:r>
              <w:t xml:space="preserve">Owner</w:t>
            </w:r>
          </w:p>
        </w:tc>
        <w:tc>
          <w:tcPr/>
          <w:p>
            <w:pPr>
              <w:pStyle w:val="Compact"/>
            </w:pPr>
            <w:r>
              <w:t xml:space="preserve">Status</w:t>
            </w:r>
          </w:p>
        </w:tc>
        <w:tc>
          <w:tcPr/>
          <w:p>
            <w:pPr>
              <w:pStyle w:val="Compact"/>
            </w:pPr>
            <w:r>
              <w:t xml:space="preserve">Due</w:t>
            </w:r>
          </w:p>
        </w:tc>
      </w:tr>
      <w:tr>
        <w:tc>
          <w:tcPr/>
          <w:p>
            <w:pPr>
              <w:pStyle w:val="Compact"/>
            </w:pPr>
            <w:r>
              <w:t xml:space="preserve">[R-NNN]</w:t>
            </w:r>
          </w:p>
        </w:tc>
        <w:tc>
          <w:tcPr/>
          <w:p>
            <w:pPr>
              <w:pStyle w:val="Compact"/>
            </w:pPr>
            <w:r>
              <w:t xml:space="preserve">[ID]</w:t>
            </w:r>
          </w:p>
        </w:tc>
        <w:tc>
          <w:tcPr/>
          <w:p>
            <w:pPr>
              <w:pStyle w:val="Compact"/>
            </w:pPr>
            <w:r>
              <w:t xml:space="preserve">[Description]</w:t>
            </w:r>
          </w:p>
        </w:tc>
        <w:tc>
          <w:tcPr/>
          <w:p>
            <w:pPr>
              <w:pStyle w:val="Compact"/>
            </w:pPr>
            <w:r>
              <w:t xml:space="preserve">[1-5]</w:t>
            </w:r>
          </w:p>
        </w:tc>
        <w:tc>
          <w:tcPr/>
          <w:p>
            <w:pPr>
              <w:pStyle w:val="Compact"/>
            </w:pPr>
            <w:r>
              <w:t xml:space="preserve">[1-5]</w:t>
            </w:r>
          </w:p>
        </w:tc>
        <w:tc>
          <w:tcPr/>
          <w:p>
            <w:pPr>
              <w:pStyle w:val="Compact"/>
            </w:pPr>
            <w:r>
              <w:t xml:space="preserve">[L×I]</w:t>
            </w:r>
          </w:p>
        </w:tc>
        <w:tc>
          <w:tcPr/>
          <w:p>
            <w:pPr>
              <w:pStyle w:val="Compact"/>
            </w:pPr>
            <w:r>
              <w:t xml:space="preserve">[Name]</w:t>
            </w:r>
          </w:p>
        </w:tc>
        <w:tc>
          <w:tcPr/>
          <w:p>
            <w:pPr>
              <w:pStyle w:val="Compact"/>
            </w:pPr>
            <w:r>
              <w:t xml:space="preserve">Open/Closed</w:t>
            </w:r>
          </w:p>
        </w:tc>
        <w:tc>
          <w:tcPr/>
          <w:p>
            <w:pPr>
              <w:pStyle w:val="Compact"/>
            </w:pPr>
            <w:r>
              <w:t xml:space="preserve">[Date]</w:t>
            </w:r>
          </w:p>
        </w:tc>
      </w:tr>
    </w:tbl>
    <w:p>
      <w:pPr>
        <w:pStyle w:val="BodyText"/>
      </w:pPr>
      <w:r>
        <w:rPr>
          <w:b/>
          <w:bCs/>
        </w:rPr>
        <w:t xml:space="preserve">Scoring matrix:</w:t>
      </w:r>
      <w:r>
        <w:t xml:space="preserve"> </w:t>
      </w:r>
      <w:r>
        <w:t xml:space="preserve">Score = Likelihood (1=Rare, 5=Certain) × Impact (1=Negligible, 5=Catastrophic)</w:t>
      </w:r>
    </w:p>
    <w:p>
      <w:pPr>
        <w:pStyle w:val="Compact"/>
        <w:numPr>
          <w:ilvl w:val="0"/>
          <w:numId w:val="1023"/>
        </w:numPr>
      </w:pPr>
      <w:r>
        <w:t xml:space="preserve">Score 1–4: Accept (document and monitor)</w:t>
      </w:r>
    </w:p>
    <w:p>
      <w:pPr>
        <w:pStyle w:val="Compact"/>
        <w:numPr>
          <w:ilvl w:val="0"/>
          <w:numId w:val="1023"/>
        </w:numPr>
      </w:pPr>
      <w:r>
        <w:t xml:space="preserve">Score 5–9: Mitigate (POA&amp;M required within 90 days)</w:t>
      </w:r>
    </w:p>
    <w:p>
      <w:pPr>
        <w:pStyle w:val="Compact"/>
        <w:numPr>
          <w:ilvl w:val="0"/>
          <w:numId w:val="1023"/>
        </w:numPr>
      </w:pPr>
      <w:r>
        <w:t xml:space="preserve">Score 10–15: Mitigate urgently (POA&amp;M required within 30 days)</w:t>
      </w:r>
    </w:p>
    <w:p>
      <w:pPr>
        <w:pStyle w:val="Compact"/>
        <w:numPr>
          <w:ilvl w:val="0"/>
          <w:numId w:val="1023"/>
        </w:numPr>
      </w:pPr>
      <w:r>
        <w:t xml:space="preserve">Score 16–25: Escalate to AO (POA&amp;M required within 15 days)</w:t>
      </w:r>
    </w:p>
    <w:bookmarkEnd w:id="105"/>
    <w:bookmarkStart w:id="106" w:name="risk-response-options"/>
    <w:p>
      <w:pPr>
        <w:pStyle w:val="Heading2"/>
      </w:pPr>
      <w:r>
        <w:t xml:space="preserve">Risk Response Options</w:t>
      </w:r>
    </w:p>
    <w:p>
      <w:pPr>
        <w:pStyle w:val="FirstParagraph"/>
      </w:pPr>
      <w:r>
        <w:t xml:space="preserve">For each identified risk the ISSO documents the chosen response:</w:t>
      </w:r>
    </w:p>
    <w:p>
      <w:pPr>
        <w:pStyle w:val="Compact"/>
        <w:numPr>
          <w:ilvl w:val="0"/>
          <w:numId w:val="1024"/>
        </w:numPr>
      </w:pPr>
      <w:r>
        <w:rPr>
          <w:b/>
          <w:bCs/>
        </w:rPr>
        <w:t xml:space="preserve">Mitigate:</w:t>
      </w:r>
      <w:r>
        <w:t xml:space="preserve"> </w:t>
      </w:r>
      <w:r>
        <w:t xml:space="preserve">Implement or strengthen a control to reduce likelihood/impact</w:t>
      </w:r>
    </w:p>
    <w:p>
      <w:pPr>
        <w:pStyle w:val="Compact"/>
        <w:numPr>
          <w:ilvl w:val="0"/>
          <w:numId w:val="1024"/>
        </w:numPr>
      </w:pPr>
      <w:r>
        <w:rPr>
          <w:b/>
          <w:bCs/>
        </w:rPr>
        <w:t xml:space="preserve">Transfer:</w:t>
      </w:r>
      <w:r>
        <w:t xml:space="preserve"> </w:t>
      </w:r>
      <w:r>
        <w:t xml:space="preserve">Contractually shift risk to a cloud service provider or vendor</w:t>
      </w:r>
    </w:p>
    <w:p>
      <w:pPr>
        <w:pStyle w:val="Compact"/>
        <w:numPr>
          <w:ilvl w:val="0"/>
          <w:numId w:val="1024"/>
        </w:numPr>
      </w:pPr>
      <w:r>
        <w:rPr>
          <w:b/>
          <w:bCs/>
        </w:rPr>
        <w:t xml:space="preserve">Accept:</w:t>
      </w:r>
      <w:r>
        <w:t xml:space="preserve"> </w:t>
      </w:r>
      <w:r>
        <w:t xml:space="preserve">Document acceptance with AO concurrence (time-bounded for score &gt; 4)</w:t>
      </w:r>
    </w:p>
    <w:p>
      <w:pPr>
        <w:pStyle w:val="Compact"/>
        <w:numPr>
          <w:ilvl w:val="0"/>
          <w:numId w:val="1024"/>
        </w:numPr>
      </w:pPr>
      <w:r>
        <w:rPr>
          <w:b/>
          <w:bCs/>
        </w:rPr>
        <w:t xml:space="preserve">Avoid:</w:t>
      </w:r>
      <w:r>
        <w:t xml:space="preserve"> </w:t>
      </w:r>
      <w:r>
        <w:t xml:space="preserve">Remove the system component or functionality that generates the risk</w:t>
      </w:r>
    </w:p>
    <w:p>
      <w:r>
        <w:pict>
          <v:rect style="width:0;height:1.5pt" o:hralign="center" o:hrstd="t" o:hr="t"/>
        </w:pict>
      </w:r>
    </w:p>
    <w:bookmarkEnd w:id="106"/>
    <w:bookmarkEnd w:id="107"/>
    <w:bookmarkStart w:id="112" w:name="Xe72d98f2c6290eae65662920ae3e1fff22106c5"/>
    <w:p>
      <w:pPr>
        <w:pStyle w:val="Heading1"/>
      </w:pPr>
      <w:r>
        <w:t xml:space="preserve">Testing, Training, and Monitoring Plan (PM-14)</w:t>
      </w:r>
    </w:p>
    <w:bookmarkStart w:id="108" w:name="ttm-framework"/>
    <w:p>
      <w:pPr>
        <w:pStyle w:val="Heading2"/>
      </w:pPr>
      <w:r>
        <w:t xml:space="preserve">T&amp;T&amp;M Framework</w:t>
      </w:r>
    </w:p>
    <w:p>
      <w:pPr>
        <w:pStyle w:val="FirstParagraph"/>
      </w:pPr>
      <w:r>
        <w:t xml:space="preserve">PM-14 requires the organization to implement a security testing, training, and</w:t>
      </w:r>
      <w:r>
        <w:t xml:space="preserve"> </w:t>
      </w:r>
      <w:r>
        <w:t xml:space="preserve">monitoring program with defined schedules and accountability.</w:t>
      </w:r>
    </w:p>
    <w:bookmarkEnd w:id="108"/>
    <w:bookmarkStart w:id="109" w:name="testing-schedule"/>
    <w:p>
      <w:pPr>
        <w:pStyle w:val="Heading2"/>
      </w:pPr>
      <w:r>
        <w:t xml:space="preserve">Testing Schedule</w:t>
      </w:r>
    </w:p>
    <w:tbl>
      <w:tblPr>
        <w:tblStyle w:val="Table"/>
        <w:tblW w:type="pct" w:w="5000"/>
        <w:tblLayout w:type="fixed"/>
        <w:tblLook w:firstRow="1" w:lastRow="0" w:firstColumn="0" w:lastColumn="0" w:noHBand="0" w:noVBand="0" w:val="0020"/>
      </w:tblPr>
      <w:tblGrid>
        <w:gridCol w:w="1643"/>
        <w:gridCol w:w="1643"/>
        <w:gridCol w:w="1942"/>
        <w:gridCol w:w="2689"/>
      </w:tblGrid>
      <w:tr>
        <w:trPr>
          <w:tblHeader w:val="on"/>
        </w:trPr>
        <w:tc>
          <w:tcPr/>
          <w:p>
            <w:pPr>
              <w:pStyle w:val="Compact"/>
            </w:pPr>
            <w:r>
              <w:t xml:space="preserve">Test Type</w:t>
            </w:r>
          </w:p>
        </w:tc>
        <w:tc>
          <w:tcPr/>
          <w:p>
            <w:pPr>
              <w:pStyle w:val="Compact"/>
            </w:pPr>
            <w:r>
              <w:t xml:space="preserve">Frequency</w:t>
            </w:r>
          </w:p>
        </w:tc>
        <w:tc>
          <w:tcPr/>
          <w:p>
            <w:pPr>
              <w:pStyle w:val="Compact"/>
            </w:pPr>
            <w:r>
              <w:t xml:space="preserve">Responsible</w:t>
            </w:r>
          </w:p>
        </w:tc>
        <w:tc>
          <w:tcPr/>
          <w:p>
            <w:pPr>
              <w:pStyle w:val="Compact"/>
            </w:pPr>
            <w:r>
              <w:t xml:space="preserve">Evidence Artifact</w:t>
            </w:r>
          </w:p>
        </w:tc>
      </w:tr>
      <w:tr>
        <w:tc>
          <w:tcPr/>
          <w:p>
            <w:pPr>
              <w:pStyle w:val="Compact"/>
            </w:pPr>
            <w:r>
              <w:t xml:space="preserve">Annual security assessment (3PAO)</w:t>
            </w:r>
          </w:p>
        </w:tc>
        <w:tc>
          <w:tcPr/>
          <w:p>
            <w:pPr>
              <w:pStyle w:val="Compact"/>
            </w:pPr>
            <w:r>
              <w:t xml:space="preserve">Annual</w:t>
            </w:r>
          </w:p>
        </w:tc>
        <w:tc>
          <w:tcPr/>
          <w:p>
            <w:pPr>
              <w:pStyle w:val="Compact"/>
            </w:pPr>
            <w:r>
              <w:t xml:space="preserve">AO / CISO</w:t>
            </w:r>
          </w:p>
        </w:tc>
        <w:tc>
          <w:tcPr/>
          <w:p>
            <w:pPr>
              <w:pStyle w:val="Compact"/>
            </w:pPr>
            <w:r>
              <w:t xml:space="preserve">Assessment report</w:t>
            </w:r>
          </w:p>
        </w:tc>
      </w:tr>
      <w:tr>
        <w:tc>
          <w:tcPr/>
          <w:p>
            <w:pPr>
              <w:pStyle w:val="Compact"/>
            </w:pPr>
            <w:r>
              <w:t xml:space="preserve">Penetration test</w:t>
            </w:r>
          </w:p>
        </w:tc>
        <w:tc>
          <w:tcPr/>
          <w:p>
            <w:pPr>
              <w:pStyle w:val="Compact"/>
            </w:pPr>
            <w:r>
              <w:t xml:space="preserve">Annual</w:t>
            </w:r>
          </w:p>
        </w:tc>
        <w:tc>
          <w:tcPr/>
          <w:p>
            <w:pPr>
              <w:pStyle w:val="Compact"/>
            </w:pPr>
            <w:r>
              <w:t xml:space="preserve">3PAO</w:t>
            </w:r>
          </w:p>
        </w:tc>
        <w:tc>
          <w:tcPr/>
          <w:p>
            <w:pPr>
              <w:pStyle w:val="Compact"/>
            </w:pPr>
            <w:r>
              <w:t xml:space="preserve">Pen test report</w:t>
            </w:r>
          </w:p>
        </w:tc>
      </w:tr>
      <w:tr>
        <w:tc>
          <w:tcPr/>
          <w:p>
            <w:pPr>
              <w:pStyle w:val="Compact"/>
            </w:pPr>
            <w:r>
              <w:t xml:space="preserve">Tabletop incident response exercise</w:t>
            </w:r>
          </w:p>
        </w:tc>
        <w:tc>
          <w:tcPr/>
          <w:p>
            <w:pPr>
              <w:pStyle w:val="Compact"/>
            </w:pPr>
            <w:r>
              <w:t xml:space="preserve">Semi-annual</w:t>
            </w:r>
          </w:p>
        </w:tc>
        <w:tc>
          <w:tcPr/>
          <w:p>
            <w:pPr>
              <w:pStyle w:val="Compact"/>
            </w:pPr>
            <w:r>
              <w:t xml:space="preserve">ISSO / SOC</w:t>
            </w:r>
          </w:p>
        </w:tc>
        <w:tc>
          <w:tcPr/>
          <w:p>
            <w:pPr>
              <w:pStyle w:val="Compact"/>
            </w:pPr>
            <w:r>
              <w:t xml:space="preserve">Exercise after-action report</w:t>
            </w:r>
          </w:p>
        </w:tc>
      </w:tr>
      <w:tr>
        <w:tc>
          <w:tcPr/>
          <w:p>
            <w:pPr>
              <w:pStyle w:val="Compact"/>
            </w:pPr>
            <w:r>
              <w:t xml:space="preserve">Control spot-check (automated KSI monitoring)</w:t>
            </w:r>
          </w:p>
        </w:tc>
        <w:tc>
          <w:tcPr/>
          <w:p>
            <w:pPr>
              <w:pStyle w:val="Compact"/>
            </w:pPr>
            <w:r>
              <w:t xml:space="preserve">Continuous</w:t>
            </w:r>
          </w:p>
        </w:tc>
        <w:tc>
          <w:tcPr/>
          <w:p>
            <w:pPr>
              <w:pStyle w:val="Compact"/>
            </w:pPr>
            <w:r>
              <w:t xml:space="preserve">DevSecOps / SOC</w:t>
            </w:r>
          </w:p>
        </w:tc>
        <w:tc>
          <w:tcPr/>
          <w:p>
            <w:pPr>
              <w:pStyle w:val="Compact"/>
            </w:pPr>
            <w:r>
              <w:t xml:space="preserve">Sentinel dashboard</w:t>
            </w:r>
          </w:p>
        </w:tc>
      </w:tr>
      <w:tr>
        <w:tc>
          <w:tcPr/>
          <w:p>
            <w:pPr>
              <w:pStyle w:val="Compact"/>
            </w:pPr>
            <w:r>
              <w:t xml:space="preserve">Vulnerability scan (Defender VM)</w:t>
            </w:r>
          </w:p>
        </w:tc>
        <w:tc>
          <w:tcPr/>
          <w:p>
            <w:pPr>
              <w:pStyle w:val="Compact"/>
            </w:pPr>
            <w:r>
              <w:t xml:space="preserve">Continuous</w:t>
            </w:r>
          </w:p>
        </w:tc>
        <w:tc>
          <w:tcPr/>
          <w:p>
            <w:pPr>
              <w:pStyle w:val="Compact"/>
            </w:pPr>
            <w:r>
              <w:t xml:space="preserve">SOC</w:t>
            </w:r>
          </w:p>
        </w:tc>
        <w:tc>
          <w:tcPr/>
          <w:p>
            <w:pPr>
              <w:pStyle w:val="Compact"/>
            </w:pPr>
            <w:r>
              <w:t xml:space="preserve">Vol III Book 02 Defender VM output</w:t>
            </w:r>
          </w:p>
        </w:tc>
      </w:tr>
      <w:tr>
        <w:tc>
          <w:tcPr/>
          <w:p>
            <w:pPr>
              <w:pStyle w:val="Compact"/>
            </w:pPr>
            <w:r>
              <w:t xml:space="preserve">SBOM/VDR scan (Grype CI gate)</w:t>
            </w:r>
          </w:p>
        </w:tc>
        <w:tc>
          <w:tcPr/>
          <w:p>
            <w:pPr>
              <w:pStyle w:val="Compact"/>
            </w:pPr>
            <w:r>
              <w:t xml:space="preserve">Every PR merge</w:t>
            </w:r>
          </w:p>
        </w:tc>
        <w:tc>
          <w:tcPr/>
          <w:p>
            <w:pPr>
              <w:pStyle w:val="Compact"/>
            </w:pPr>
            <w:r>
              <w:t xml:space="preserve">DevSecOps</w:t>
            </w:r>
          </w:p>
        </w:tc>
        <w:tc>
          <w:tcPr/>
          <w:p>
            <w:pPr>
              <w:pStyle w:val="Compact"/>
            </w:pPr>
            <w:r>
              <w:t xml:space="preserve">Vol IV Book 02 CI logs</w:t>
            </w:r>
          </w:p>
        </w:tc>
      </w:tr>
      <w:tr>
        <w:tc>
          <w:tcPr/>
          <w:p>
            <w:pPr>
              <w:pStyle w:val="Compact"/>
            </w:pPr>
            <w:r>
              <w:t xml:space="preserve">Contingency plan test</w:t>
            </w:r>
          </w:p>
        </w:tc>
        <w:tc>
          <w:tcPr/>
          <w:p>
            <w:pPr>
              <w:pStyle w:val="Compact"/>
            </w:pPr>
            <w:r>
              <w:t xml:space="preserve">Annual</w:t>
            </w:r>
          </w:p>
        </w:tc>
        <w:tc>
          <w:tcPr/>
          <w:p>
            <w:pPr>
              <w:pStyle w:val="Compact"/>
            </w:pPr>
            <w:r>
              <w:t xml:space="preserve">ISSO</w:t>
            </w:r>
          </w:p>
        </w:tc>
        <w:tc>
          <w:tcPr/>
          <w:p>
            <w:pPr>
              <w:pStyle w:val="Compact"/>
            </w:pPr>
            <w:r>
              <w:t xml:space="preserve">CP-4 test results</w:t>
            </w:r>
          </w:p>
        </w:tc>
      </w:tr>
      <w:tr>
        <w:tc>
          <w:tcPr/>
          <w:p>
            <w:pPr>
              <w:pStyle w:val="Compact"/>
            </w:pPr>
            <w:r>
              <w:t xml:space="preserve">Configuration baseline review</w:t>
            </w:r>
          </w:p>
        </w:tc>
        <w:tc>
          <w:tcPr/>
          <w:p>
            <w:pPr>
              <w:pStyle w:val="Compact"/>
            </w:pPr>
            <w:r>
              <w:t xml:space="preserve">Quarterly</w:t>
            </w:r>
          </w:p>
        </w:tc>
        <w:tc>
          <w:tcPr/>
          <w:p>
            <w:pPr>
              <w:pStyle w:val="Compact"/>
            </w:pPr>
            <w:r>
              <w:t xml:space="preserve">DevSecOps</w:t>
            </w:r>
          </w:p>
        </w:tc>
        <w:tc>
          <w:tcPr/>
          <w:p>
            <w:pPr>
              <w:pStyle w:val="Compact"/>
            </w:pPr>
            <w:r>
              <w:t xml:space="preserve">GitHub baseline diff</w:t>
            </w:r>
          </w:p>
        </w:tc>
      </w:tr>
    </w:tbl>
    <w:bookmarkEnd w:id="109"/>
    <w:bookmarkStart w:id="110" w:name="training-requirements"/>
    <w:p>
      <w:pPr>
        <w:pStyle w:val="Heading2"/>
      </w:pPr>
      <w:r>
        <w:t xml:space="preserve">Training Requirements</w:t>
      </w:r>
    </w:p>
    <w:p>
      <w:pPr>
        <w:pStyle w:val="FirstParagraph"/>
      </w:pPr>
      <w:r>
        <w:t xml:space="preserve">All personnel with access to systems within the authorization boundary must</w:t>
      </w:r>
      <w:r>
        <w:t xml:space="preserve"> </w:t>
      </w:r>
      <w:r>
        <w:t xml:space="preserve">complete:</w:t>
      </w:r>
    </w:p>
    <w:tbl>
      <w:tblPr>
        <w:tblStyle w:val="Table"/>
        <w:tblW w:type="pct" w:w="5000"/>
        <w:tblLayout w:type="fixed"/>
        <w:tblLook w:firstRow="1" w:lastRow="0" w:firstColumn="0" w:lastColumn="0" w:noHBand="0" w:noVBand="0" w:val="0020"/>
      </w:tblPr>
      <w:tblGrid>
        <w:gridCol w:w="1685"/>
        <w:gridCol w:w="1853"/>
        <w:gridCol w:w="1685"/>
        <w:gridCol w:w="2696"/>
      </w:tblGrid>
      <w:tr>
        <w:trPr>
          <w:tblHeader w:val="on"/>
        </w:trPr>
        <w:tc>
          <w:tcPr/>
          <w:p>
            <w:pPr>
              <w:pStyle w:val="Compact"/>
            </w:pPr>
            <w:r>
              <w:t xml:space="preserve">Training</w:t>
            </w:r>
          </w:p>
        </w:tc>
        <w:tc>
          <w:tcPr/>
          <w:p>
            <w:pPr>
              <w:pStyle w:val="Compact"/>
            </w:pPr>
            <w:r>
              <w:t xml:space="preserve">Frequency</w:t>
            </w:r>
          </w:p>
        </w:tc>
        <w:tc>
          <w:tcPr/>
          <w:p>
            <w:pPr>
              <w:pStyle w:val="Compact"/>
            </w:pPr>
            <w:r>
              <w:t xml:space="preserve">Audience</w:t>
            </w:r>
          </w:p>
        </w:tc>
        <w:tc>
          <w:tcPr/>
          <w:p>
            <w:pPr>
              <w:pStyle w:val="Compact"/>
            </w:pPr>
            <w:r>
              <w:t xml:space="preserve">Tracking System</w:t>
            </w:r>
          </w:p>
        </w:tc>
      </w:tr>
      <w:tr>
        <w:tc>
          <w:tcPr/>
          <w:p>
            <w:pPr>
              <w:pStyle w:val="Compact"/>
            </w:pPr>
            <w:r>
              <w:t xml:space="preserve">Security awareness (role-based)</w:t>
            </w:r>
          </w:p>
        </w:tc>
        <w:tc>
          <w:tcPr/>
          <w:p>
            <w:pPr>
              <w:pStyle w:val="Compact"/>
            </w:pPr>
            <w:r>
              <w:t xml:space="preserve">Annual</w:t>
            </w:r>
          </w:p>
        </w:tc>
        <w:tc>
          <w:tcPr/>
          <w:p>
            <w:pPr>
              <w:pStyle w:val="Compact"/>
            </w:pPr>
            <w:r>
              <w:t xml:space="preserve">All users</w:t>
            </w:r>
          </w:p>
        </w:tc>
        <w:tc>
          <w:tcPr/>
          <w:p>
            <w:pPr>
              <w:pStyle w:val="Compact"/>
            </w:pPr>
            <w:r>
              <w:t xml:space="preserve">[LMS NAME]</w:t>
            </w:r>
          </w:p>
        </w:tc>
      </w:tr>
      <w:tr>
        <w:tc>
          <w:tcPr/>
          <w:p>
            <w:pPr>
              <w:pStyle w:val="Compact"/>
            </w:pPr>
            <w:r>
              <w:t xml:space="preserve">FedRAMP procedures</w:t>
            </w:r>
          </w:p>
        </w:tc>
        <w:tc>
          <w:tcPr/>
          <w:p>
            <w:pPr>
              <w:pStyle w:val="Compact"/>
            </w:pPr>
            <w:r>
              <w:t xml:space="preserve">Annual</w:t>
            </w:r>
          </w:p>
        </w:tc>
        <w:tc>
          <w:tcPr/>
          <w:p>
            <w:pPr>
              <w:pStyle w:val="Compact"/>
            </w:pPr>
            <w:r>
              <w:t xml:space="preserve">ISSO, security team</w:t>
            </w:r>
          </w:p>
        </w:tc>
        <w:tc>
          <w:tcPr/>
          <w:p>
            <w:pPr>
              <w:pStyle w:val="Compact"/>
            </w:pPr>
            <w:r>
              <w:t xml:space="preserve">[LMS NAME]</w:t>
            </w:r>
          </w:p>
        </w:tc>
      </w:tr>
      <w:tr>
        <w:tc>
          <w:tcPr/>
          <w:p>
            <w:pPr>
              <w:pStyle w:val="Compact"/>
            </w:pPr>
            <w:r>
              <w:t xml:space="preserve">Incident response procedures</w:t>
            </w:r>
          </w:p>
        </w:tc>
        <w:tc>
          <w:tcPr/>
          <w:p>
            <w:pPr>
              <w:pStyle w:val="Compact"/>
            </w:pPr>
            <w:r>
              <w:t xml:space="preserve">Semi-annual</w:t>
            </w:r>
          </w:p>
        </w:tc>
        <w:tc>
          <w:tcPr/>
          <w:p>
            <w:pPr>
              <w:pStyle w:val="Compact"/>
            </w:pPr>
            <w:r>
              <w:t xml:space="preserve">ISSO, SOC, DevSecOps</w:t>
            </w:r>
          </w:p>
        </w:tc>
        <w:tc>
          <w:tcPr/>
          <w:p>
            <w:pPr>
              <w:pStyle w:val="Compact"/>
            </w:pPr>
            <w:r>
              <w:t xml:space="preserve">Tabletop exercise roster</w:t>
            </w:r>
          </w:p>
        </w:tc>
      </w:tr>
      <w:tr>
        <w:tc>
          <w:tcPr/>
          <w:p>
            <w:pPr>
              <w:pStyle w:val="Compact"/>
            </w:pPr>
            <w:r>
              <w:t xml:space="preserve">SBOM/supply chain awareness</w:t>
            </w:r>
          </w:p>
        </w:tc>
        <w:tc>
          <w:tcPr/>
          <w:p>
            <w:pPr>
              <w:pStyle w:val="Compact"/>
            </w:pPr>
            <w:r>
              <w:t xml:space="preserve">Annual</w:t>
            </w:r>
          </w:p>
        </w:tc>
        <w:tc>
          <w:tcPr/>
          <w:p>
            <w:pPr>
              <w:pStyle w:val="Compact"/>
            </w:pPr>
            <w:r>
              <w:t xml:space="preserve">DevSecOps, procurement</w:t>
            </w:r>
          </w:p>
        </w:tc>
        <w:tc>
          <w:tcPr/>
          <w:p>
            <w:pPr>
              <w:pStyle w:val="Compact"/>
            </w:pPr>
            <w:r>
              <w:t xml:space="preserve">[LMS NAME]</w:t>
            </w:r>
          </w:p>
        </w:tc>
      </w:tr>
      <w:tr>
        <w:tc>
          <w:tcPr/>
          <w:p>
            <w:pPr>
              <w:pStyle w:val="Compact"/>
            </w:pPr>
            <w:r>
              <w:t xml:space="preserve">Privacy (PII handling)</w:t>
            </w:r>
          </w:p>
        </w:tc>
        <w:tc>
          <w:tcPr/>
          <w:p>
            <w:pPr>
              <w:pStyle w:val="Compact"/>
            </w:pPr>
            <w:r>
              <w:t xml:space="preserve">Annual</w:t>
            </w:r>
          </w:p>
        </w:tc>
        <w:tc>
          <w:tcPr/>
          <w:p>
            <w:pPr>
              <w:pStyle w:val="Compact"/>
            </w:pPr>
            <w:r>
              <w:t xml:space="preserve">All users with PII access</w:t>
            </w:r>
          </w:p>
        </w:tc>
        <w:tc>
          <w:tcPr/>
          <w:p>
            <w:pPr>
              <w:pStyle w:val="Compact"/>
            </w:pPr>
            <w:r>
              <w:t xml:space="preserve">[LMS NAME]</w:t>
            </w:r>
          </w:p>
        </w:tc>
      </w:tr>
    </w:tbl>
    <w:bookmarkEnd w:id="110"/>
    <w:bookmarkStart w:id="111" w:name="continuous-monitoring-program"/>
    <w:p>
      <w:pPr>
        <w:pStyle w:val="Heading2"/>
      </w:pPr>
      <w:r>
        <w:t xml:space="preserve">Continuous Monitoring Program</w:t>
      </w:r>
    </w:p>
    <w:p>
      <w:pPr>
        <w:pStyle w:val="FirstParagraph"/>
      </w:pPr>
      <w:r>
        <w:t xml:space="preserve">The continuous monitoring program for Agency’s FedRAMP 20x authorization is</w:t>
      </w:r>
      <w:r>
        <w:t xml:space="preserve"> </w:t>
      </w:r>
      <w:r>
        <w:t xml:space="preserve">operationalized through the Vol III Book 06 Sentinel XDR platform with the following</w:t>
      </w:r>
      <w:r>
        <w:t xml:space="preserve"> </w:t>
      </w:r>
      <w:r>
        <w:t xml:space="preserve">monitoring dimensions:</w:t>
      </w:r>
    </w:p>
    <w:tbl>
      <w:tblPr>
        <w:tblStyle w:val="Table"/>
        <w:tblW w:type="pct" w:w="5000"/>
        <w:tblLayout w:type="fixed"/>
        <w:tblLook w:firstRow="1" w:lastRow="0" w:firstColumn="0" w:lastColumn="0" w:noHBand="0" w:noVBand="0" w:val="0020"/>
      </w:tblPr>
      <w:tblGrid>
        <w:gridCol w:w="1584"/>
        <w:gridCol w:w="1584"/>
        <w:gridCol w:w="2592"/>
        <w:gridCol w:w="2160"/>
      </w:tblGrid>
      <w:tr>
        <w:trPr>
          <w:tblHeader w:val="on"/>
        </w:trPr>
        <w:tc>
          <w:tcPr/>
          <w:p>
            <w:pPr>
              <w:pStyle w:val="Compact"/>
            </w:pPr>
            <w:r>
              <w:t xml:space="preserve">Dimension</w:t>
            </w:r>
          </w:p>
        </w:tc>
        <w:tc>
          <w:tcPr/>
          <w:p>
            <w:pPr>
              <w:pStyle w:val="Compact"/>
            </w:pPr>
            <w:r>
              <w:t xml:space="preserve">KSI Theme</w:t>
            </w:r>
          </w:p>
        </w:tc>
        <w:tc>
          <w:tcPr/>
          <w:p>
            <w:pPr>
              <w:pStyle w:val="Compact"/>
            </w:pPr>
            <w:r>
              <w:t xml:space="preserve">Sentinel Workbook</w:t>
            </w:r>
          </w:p>
        </w:tc>
        <w:tc>
          <w:tcPr/>
          <w:p>
            <w:pPr>
              <w:pStyle w:val="Compact"/>
            </w:pPr>
            <w:r>
              <w:t xml:space="preserve">Alert Cadence</w:t>
            </w:r>
          </w:p>
        </w:tc>
      </w:tr>
      <w:tr>
        <w:tc>
          <w:tcPr/>
          <w:p>
            <w:pPr>
              <w:pStyle w:val="Compact"/>
            </w:pPr>
            <w:r>
              <w:t xml:space="preserve">Identity anomalies</w:t>
            </w:r>
          </w:p>
        </w:tc>
        <w:tc>
          <w:tcPr/>
          <w:p>
            <w:pPr>
              <w:pStyle w:val="Compact"/>
            </w:pPr>
            <w:r>
              <w:t xml:space="preserve">KSI-IAM</w:t>
            </w:r>
          </w:p>
        </w:tc>
        <w:tc>
          <w:tcPr/>
          <w:p>
            <w:pPr>
              <w:pStyle w:val="Compact"/>
            </w:pPr>
            <w:r>
              <w:t xml:space="preserve">Identity &amp; Access</w:t>
            </w:r>
          </w:p>
        </w:tc>
        <w:tc>
          <w:tcPr/>
          <w:p>
            <w:pPr>
              <w:pStyle w:val="Compact"/>
            </w:pPr>
            <w:r>
              <w:t xml:space="preserve">Real-time</w:t>
            </w:r>
          </w:p>
        </w:tc>
      </w:tr>
      <w:tr>
        <w:tc>
          <w:tcPr/>
          <w:p>
            <w:pPr>
              <w:pStyle w:val="Compact"/>
            </w:pPr>
            <w:r>
              <w:t xml:space="preserve">Network anomalies</w:t>
            </w:r>
          </w:p>
        </w:tc>
        <w:tc>
          <w:tcPr/>
          <w:p>
            <w:pPr>
              <w:pStyle w:val="Compact"/>
            </w:pPr>
            <w:r>
              <w:t xml:space="preserve">KSI-CNA</w:t>
            </w:r>
          </w:p>
        </w:tc>
        <w:tc>
          <w:tcPr/>
          <w:p>
            <w:pPr>
              <w:pStyle w:val="Compact"/>
            </w:pPr>
            <w:r>
              <w:t xml:space="preserve">Network Security</w:t>
            </w:r>
          </w:p>
        </w:tc>
        <w:tc>
          <w:tcPr/>
          <w:p>
            <w:pPr>
              <w:pStyle w:val="Compact"/>
            </w:pPr>
            <w:r>
              <w:t xml:space="preserve">Real-time</w:t>
            </w:r>
          </w:p>
        </w:tc>
      </w:tr>
      <w:tr>
        <w:tc>
          <w:tcPr/>
          <w:p>
            <w:pPr>
              <w:pStyle w:val="Compact"/>
            </w:pPr>
            <w:r>
              <w:t xml:space="preserve">Endpoint threats</w:t>
            </w:r>
          </w:p>
        </w:tc>
        <w:tc>
          <w:tcPr/>
          <w:p>
            <w:pPr>
              <w:pStyle w:val="Compact"/>
            </w:pPr>
            <w:r>
              <w:t xml:space="preserve">KSI-PIY</w:t>
            </w:r>
          </w:p>
        </w:tc>
        <w:tc>
          <w:tcPr/>
          <w:p>
            <w:pPr>
              <w:pStyle w:val="Compact"/>
            </w:pPr>
            <w:r>
              <w:t xml:space="preserve">Endpoint Protection</w:t>
            </w:r>
          </w:p>
        </w:tc>
        <w:tc>
          <w:tcPr/>
          <w:p>
            <w:pPr>
              <w:pStyle w:val="Compact"/>
            </w:pPr>
            <w:r>
              <w:t xml:space="preserve">Real-time</w:t>
            </w:r>
          </w:p>
        </w:tc>
      </w:tr>
      <w:tr>
        <w:tc>
          <w:tcPr/>
          <w:p>
            <w:pPr>
              <w:pStyle w:val="Compact"/>
            </w:pPr>
            <w:r>
              <w:t xml:space="preserve">Vulnerability posture</w:t>
            </w:r>
          </w:p>
        </w:tc>
        <w:tc>
          <w:tcPr/>
          <w:p>
            <w:pPr>
              <w:pStyle w:val="Compact"/>
            </w:pPr>
            <w:r>
              <w:t xml:space="preserve">KSI-MLA</w:t>
            </w:r>
          </w:p>
        </w:tc>
        <w:tc>
          <w:tcPr/>
          <w:p>
            <w:pPr>
              <w:pStyle w:val="Compact"/>
            </w:pPr>
            <w:r>
              <w:t xml:space="preserve">Vulnerability Dashboard</w:t>
            </w:r>
          </w:p>
        </w:tc>
        <w:tc>
          <w:tcPr/>
          <w:p>
            <w:pPr>
              <w:pStyle w:val="Compact"/>
            </w:pPr>
            <w:r>
              <w:t xml:space="preserve">Daily</w:t>
            </w:r>
          </w:p>
        </w:tc>
      </w:tr>
      <w:tr>
        <w:tc>
          <w:tcPr/>
          <w:p>
            <w:pPr>
              <w:pStyle w:val="Compact"/>
            </w:pPr>
            <w:r>
              <w:t xml:space="preserve">SBOM drift / CVE ingestion</w:t>
            </w:r>
          </w:p>
        </w:tc>
        <w:tc>
          <w:tcPr/>
          <w:p>
            <w:pPr>
              <w:pStyle w:val="Compact"/>
            </w:pPr>
            <w:r>
              <w:t xml:space="preserve">KSI-CMT / KSI-SCR</w:t>
            </w:r>
          </w:p>
        </w:tc>
        <w:tc>
          <w:tcPr/>
          <w:p>
            <w:pPr>
              <w:pStyle w:val="Compact"/>
            </w:pPr>
            <w:r>
              <w:t xml:space="preserve">SBOM Dashboard</w:t>
            </w:r>
          </w:p>
        </w:tc>
        <w:tc>
          <w:tcPr/>
          <w:p>
            <w:pPr>
              <w:pStyle w:val="Compact"/>
            </w:pPr>
            <w:r>
              <w:t xml:space="preserve">Per-commit</w:t>
            </w:r>
          </w:p>
        </w:tc>
      </w:tr>
      <w:tr>
        <w:tc>
          <w:tcPr/>
          <w:p>
            <w:pPr>
              <w:pStyle w:val="Compact"/>
            </w:pPr>
            <w:r>
              <w:t xml:space="preserve">Log completeness</w:t>
            </w:r>
          </w:p>
        </w:tc>
        <w:tc>
          <w:tcPr/>
          <w:p>
            <w:pPr>
              <w:pStyle w:val="Compact"/>
            </w:pPr>
            <w:r>
              <w:t xml:space="preserve">KSI-MLA</w:t>
            </w:r>
          </w:p>
        </w:tc>
        <w:tc>
          <w:tcPr/>
          <w:p>
            <w:pPr>
              <w:pStyle w:val="Compact"/>
            </w:pPr>
            <w:r>
              <w:t xml:space="preserve">Log Analytics Health</w:t>
            </w:r>
          </w:p>
        </w:tc>
        <w:tc>
          <w:tcPr/>
          <w:p>
            <w:pPr>
              <w:pStyle w:val="Compact"/>
            </w:pPr>
            <w:r>
              <w:t xml:space="preserve">Hourly</w:t>
            </w:r>
          </w:p>
        </w:tc>
      </w:tr>
    </w:tbl>
    <w:p>
      <w:r>
        <w:pict>
          <v:rect style="width:0;height:1.5pt" o:hralign="center" o:hrstd="t" o:hr="t"/>
        </w:pict>
      </w:r>
    </w:p>
    <w:bookmarkEnd w:id="111"/>
    <w:bookmarkEnd w:id="112"/>
    <w:bookmarkStart w:id="117" w:name="security-contact-registry-pm-15"/>
    <w:p>
      <w:pPr>
        <w:pStyle w:val="Heading1"/>
      </w:pPr>
      <w:r>
        <w:t xml:space="preserve">Security Contact Registry (PM-15)</w:t>
      </w:r>
    </w:p>
    <w:bookmarkStart w:id="116" w:name="industry-and-government-liaison-contacts"/>
    <w:p>
      <w:pPr>
        <w:pStyle w:val="Heading2"/>
      </w:pPr>
      <w:r>
        <w:t xml:space="preserve">Industry and Government Liaison Contacts</w:t>
      </w:r>
    </w:p>
    <w:p>
      <w:pPr>
        <w:pStyle w:val="FirstParagraph"/>
      </w:pPr>
      <w:r>
        <w:t xml:space="preserve">PM-15 requires the organization to maintain current contacts with security</w:t>
      </w:r>
      <w:r>
        <w:t xml:space="preserve"> </w:t>
      </w:r>
      <w:r>
        <w:t xml:space="preserve">groups, associations, and government organizations. The following registry</w:t>
      </w:r>
      <w:r>
        <w:t xml:space="preserve"> </w:t>
      </w:r>
      <w:r>
        <w:t xml:space="preserve">is maintained by the CISO and reviewed quarterly.</w:t>
      </w:r>
    </w:p>
    <w:bookmarkStart w:id="113" w:name="government-contacts"/>
    <w:p>
      <w:pPr>
        <w:pStyle w:val="Heading3"/>
      </w:pPr>
      <w:r>
        <w:t xml:space="preserve">Government Contacts</w:t>
      </w:r>
    </w:p>
    <w:tbl>
      <w:tblPr>
        <w:tblStyle w:val="Table"/>
        <w:tblW w:type="pct" w:w="5000"/>
        <w:tblLayout w:type="fixed"/>
        <w:tblLook w:firstRow="1" w:lastRow="0" w:firstColumn="0" w:lastColumn="0" w:noHBand="0" w:noVBand="0" w:val="0020"/>
      </w:tblPr>
      <w:tblGrid>
        <w:gridCol w:w="1634"/>
        <w:gridCol w:w="1634"/>
        <w:gridCol w:w="2640"/>
        <w:gridCol w:w="2011"/>
      </w:tblGrid>
      <w:tr>
        <w:trPr>
          <w:tblHeader w:val="on"/>
        </w:trPr>
        <w:tc>
          <w:tcPr/>
          <w:p>
            <w:pPr>
              <w:pStyle w:val="Compact"/>
            </w:pPr>
            <w:r>
              <w:t xml:space="preserve">Organization</w:t>
            </w:r>
          </w:p>
        </w:tc>
        <w:tc>
          <w:tcPr/>
          <w:p>
            <w:pPr>
              <w:pStyle w:val="Compact"/>
            </w:pPr>
            <w:r>
              <w:t xml:space="preserve">Contact Type</w:t>
            </w:r>
          </w:p>
        </w:tc>
        <w:tc>
          <w:tcPr/>
          <w:p>
            <w:pPr>
              <w:pStyle w:val="Compact"/>
            </w:pPr>
            <w:r>
              <w:t xml:space="preserve">Notification Trigger</w:t>
            </w:r>
          </w:p>
        </w:tc>
        <w:tc>
          <w:tcPr/>
          <w:p>
            <w:pPr>
              <w:pStyle w:val="Compact"/>
            </w:pPr>
            <w:r>
              <w:t xml:space="preserve">Contact Method</w:t>
            </w:r>
          </w:p>
        </w:tc>
      </w:tr>
      <w:tr>
        <w:tc>
          <w:tcPr/>
          <w:p>
            <w:pPr>
              <w:pStyle w:val="Compact"/>
            </w:pPr>
            <w:r>
              <w:t xml:space="preserve">CISA (US-CERT)</w:t>
            </w:r>
          </w:p>
        </w:tc>
        <w:tc>
          <w:tcPr/>
          <w:p>
            <w:pPr>
              <w:pStyle w:val="Compact"/>
            </w:pPr>
            <w:r>
              <w:t xml:space="preserve">Incident reporting</w:t>
            </w:r>
          </w:p>
        </w:tc>
        <w:tc>
          <w:tcPr/>
          <w:p>
            <w:pPr>
              <w:pStyle w:val="Compact"/>
            </w:pPr>
            <w:r>
              <w:t xml:space="preserve">All incidents meeting FISMA thresholds</w:t>
            </w:r>
          </w:p>
        </w:tc>
        <w:tc>
          <w:tcPr/>
          <w:p>
            <w:pPr>
              <w:pStyle w:val="Compact"/>
            </w:pPr>
            <w:r>
              <w:t xml:space="preserve">ir@cisa.dhs.gov</w:t>
            </w:r>
          </w:p>
        </w:tc>
      </w:tr>
      <w:tr>
        <w:tc>
          <w:tcPr/>
          <w:p>
            <w:pPr>
              <w:pStyle w:val="Compact"/>
            </w:pPr>
            <w:r>
              <w:t xml:space="preserve">CISA KEV team</w:t>
            </w:r>
          </w:p>
        </w:tc>
        <w:tc>
          <w:tcPr/>
          <w:p>
            <w:pPr>
              <w:pStyle w:val="Compact"/>
            </w:pPr>
            <w:r>
              <w:t xml:space="preserve">Vulnerability intel</w:t>
            </w:r>
          </w:p>
        </w:tc>
        <w:tc>
          <w:tcPr/>
          <w:p>
            <w:pPr>
              <w:pStyle w:val="Compact"/>
            </w:pPr>
            <w:r>
              <w:t xml:space="preserve">KEV additions affecting Agency SBOM components</w:t>
            </w:r>
          </w:p>
        </w:tc>
        <w:tc>
          <w:tcPr/>
          <w:p>
            <w:pPr>
              <w:pStyle w:val="Compact"/>
            </w:pPr>
            <w:r>
              <w:t xml:space="preserve">kev@cisa.dhs.gov</w:t>
            </w:r>
          </w:p>
        </w:tc>
      </w:tr>
      <w:tr>
        <w:tc>
          <w:tcPr/>
          <w:p>
            <w:pPr>
              <w:pStyle w:val="Compact"/>
            </w:pPr>
            <w:r>
              <w:t xml:space="preserve">FedRAMP PMO</w:t>
            </w:r>
          </w:p>
        </w:tc>
        <w:tc>
          <w:tcPr/>
          <w:p>
            <w:pPr>
              <w:pStyle w:val="Compact"/>
            </w:pPr>
            <w:r>
              <w:t xml:space="preserve">Inherited CSO authorizations (M365 GCC, GovCloud, DDI SaaS)</w:t>
            </w:r>
          </w:p>
        </w:tc>
        <w:tc>
          <w:tcPr/>
          <w:p>
            <w:pPr>
              <w:pStyle w:val="Compact"/>
            </w:pPr>
            <w:r>
              <w:t xml:space="preserve">Change in an inherited authorization’s status or 20x transition timeline</w:t>
            </w:r>
          </w:p>
        </w:tc>
        <w:tc>
          <w:tcPr/>
          <w:p>
            <w:pPr>
              <w:pStyle w:val="Compact"/>
            </w:pPr>
            <w:r>
              <w:t xml:space="preserve">info@fedramp.gov</w:t>
            </w:r>
          </w:p>
        </w:tc>
      </w:tr>
      <w:tr>
        <w:tc>
          <w:tcPr/>
          <w:p>
            <w:pPr>
              <w:pStyle w:val="Compact"/>
            </w:pPr>
            <w:r>
              <w:t xml:space="preserve">OMB Cyber</w:t>
            </w:r>
          </w:p>
        </w:tc>
        <w:tc>
          <w:tcPr/>
          <w:p>
            <w:pPr>
              <w:pStyle w:val="Compact"/>
            </w:pPr>
            <w:r>
              <w:t xml:space="preserve">Policy guidance</w:t>
            </w:r>
          </w:p>
        </w:tc>
        <w:tc>
          <w:tcPr/>
          <w:p>
            <w:pPr>
              <w:pStyle w:val="Compact"/>
            </w:pPr>
            <w:r>
              <w:t xml:space="preserve">Major policy changes</w:t>
            </w:r>
          </w:p>
        </w:tc>
        <w:tc>
          <w:tcPr/>
          <w:p>
            <w:pPr>
              <w:pStyle w:val="Compact"/>
            </w:pPr>
            <w:r>
              <w:t xml:space="preserve">[OMB POC]</w:t>
            </w:r>
          </w:p>
        </w:tc>
      </w:tr>
      <w:tr>
        <w:tc>
          <w:tcPr/>
          <w:p>
            <w:pPr>
              <w:pStyle w:val="Compact"/>
            </w:pPr>
            <w:r>
              <w:t xml:space="preserve">Agency IG</w:t>
            </w:r>
          </w:p>
        </w:tc>
        <w:tc>
          <w:tcPr/>
          <w:p>
            <w:pPr>
              <w:pStyle w:val="Compact"/>
            </w:pPr>
            <w:r>
              <w:t xml:space="preserve">Audit coordination</w:t>
            </w:r>
          </w:p>
        </w:tc>
        <w:tc>
          <w:tcPr/>
          <w:p>
            <w:pPr>
              <w:pStyle w:val="Compact"/>
            </w:pPr>
            <w:r>
              <w:t xml:space="preserve">Audit notification, investigation referral</w:t>
            </w:r>
          </w:p>
        </w:tc>
        <w:tc>
          <w:tcPr/>
          <w:p>
            <w:pPr>
              <w:pStyle w:val="Compact"/>
            </w:pPr>
            <w:r>
              <w:t xml:space="preserve">[IG POC]</w:t>
            </w:r>
          </w:p>
        </w:tc>
      </w:tr>
    </w:tbl>
    <w:bookmarkEnd w:id="113"/>
    <w:bookmarkStart w:id="114" w:name="industry-and-isac-contacts"/>
    <w:p>
      <w:pPr>
        <w:pStyle w:val="Heading3"/>
      </w:pPr>
      <w:r>
        <w:t xml:space="preserve">Industry and ISAC Contacts</w:t>
      </w:r>
    </w:p>
    <w:tbl>
      <w:tblPr>
        <w:tblStyle w:val="Table"/>
        <w:tblW w:type="pct" w:w="5000"/>
        <w:tblLayout w:type="fixed"/>
        <w:tblLook w:firstRow="1" w:lastRow="0" w:firstColumn="0" w:lastColumn="0" w:noHBand="0" w:noVBand="0" w:val="0020"/>
      </w:tblPr>
      <w:tblGrid>
        <w:gridCol w:w="2101"/>
        <w:gridCol w:w="1777"/>
        <w:gridCol w:w="2586"/>
        <w:gridCol w:w="1454"/>
      </w:tblGrid>
      <w:tr>
        <w:trPr>
          <w:tblHeader w:val="on"/>
        </w:trPr>
        <w:tc>
          <w:tcPr/>
          <w:p>
            <w:pPr>
              <w:pStyle w:val="Compact"/>
            </w:pPr>
            <w:r>
              <w:t xml:space="preserve">Organization</w:t>
            </w:r>
          </w:p>
        </w:tc>
        <w:tc>
          <w:tcPr/>
          <w:p>
            <w:pPr>
              <w:pStyle w:val="Compact"/>
            </w:pPr>
            <w:r>
              <w:t xml:space="preserve">Membership</w:t>
            </w:r>
          </w:p>
        </w:tc>
        <w:tc>
          <w:tcPr/>
          <w:p>
            <w:pPr>
              <w:pStyle w:val="Compact"/>
            </w:pPr>
            <w:r>
              <w:t xml:space="preserve">Contact Purpose</w:t>
            </w:r>
          </w:p>
        </w:tc>
        <w:tc>
          <w:tcPr/>
          <w:p>
            <w:pPr>
              <w:pStyle w:val="Compact"/>
            </w:pPr>
            <w:r>
              <w:t xml:space="preserve">Cadence</w:t>
            </w:r>
          </w:p>
        </w:tc>
      </w:tr>
      <w:tr>
        <w:tc>
          <w:tcPr/>
          <w:p>
            <w:pPr>
              <w:pStyle w:val="Compact"/>
            </w:pPr>
            <w:r>
              <w:t xml:space="preserve">MS-ISAC</w:t>
            </w:r>
          </w:p>
        </w:tc>
        <w:tc>
          <w:tcPr/>
          <w:p>
            <w:pPr>
              <w:pStyle w:val="Compact"/>
            </w:pPr>
            <w:r>
              <w:t xml:space="preserve">Active member</w:t>
            </w:r>
          </w:p>
        </w:tc>
        <w:tc>
          <w:tcPr/>
          <w:p>
            <w:pPr>
              <w:pStyle w:val="Compact"/>
            </w:pPr>
            <w:r>
              <w:t xml:space="preserve">Threat intelligence sharing</w:t>
            </w:r>
          </w:p>
        </w:tc>
        <w:tc>
          <w:tcPr/>
          <w:p>
            <w:pPr>
              <w:pStyle w:val="Compact"/>
            </w:pPr>
            <w:r>
              <w:t xml:space="preserve">Monthly briefing</w:t>
            </w:r>
          </w:p>
        </w:tc>
      </w:tr>
      <w:tr>
        <w:tc>
          <w:tcPr/>
          <w:p>
            <w:pPr>
              <w:pStyle w:val="Compact"/>
            </w:pPr>
            <w:r>
              <w:t xml:space="preserve">IT-ISAC</w:t>
            </w:r>
          </w:p>
        </w:tc>
        <w:tc>
          <w:tcPr/>
          <w:p>
            <w:pPr>
              <w:pStyle w:val="Compact"/>
            </w:pPr>
            <w:r>
              <w:t xml:space="preserve">Liaison</w:t>
            </w:r>
          </w:p>
        </w:tc>
        <w:tc>
          <w:tcPr/>
          <w:p>
            <w:pPr>
              <w:pStyle w:val="Compact"/>
            </w:pPr>
            <w:r>
              <w:t xml:space="preserve">Federal IT threat feeds</w:t>
            </w:r>
          </w:p>
        </w:tc>
        <w:tc>
          <w:tcPr/>
          <w:p>
            <w:pPr>
              <w:pStyle w:val="Compact"/>
            </w:pPr>
            <w:r>
              <w:t xml:space="preserve">Quarterly</w:t>
            </w:r>
          </w:p>
        </w:tc>
      </w:tr>
      <w:tr>
        <w:tc>
          <w:tcPr/>
          <w:p>
            <w:pPr>
              <w:pStyle w:val="Compact"/>
            </w:pPr>
            <w:r>
              <w:t xml:space="preserve">Microsoft MSRC</w:t>
            </w:r>
          </w:p>
        </w:tc>
        <w:tc>
          <w:tcPr/>
          <w:p>
            <w:pPr>
              <w:pStyle w:val="Compact"/>
            </w:pPr>
            <w:r>
              <w:t xml:space="preserve">Vendor subscription</w:t>
            </w:r>
          </w:p>
        </w:tc>
        <w:tc>
          <w:tcPr/>
          <w:p>
            <w:pPr>
              <w:pStyle w:val="Compact"/>
            </w:pPr>
            <w:r>
              <w:t xml:space="preserve">CVE notification for Azure/M365</w:t>
            </w:r>
          </w:p>
        </w:tc>
        <w:tc>
          <w:tcPr/>
          <w:p>
            <w:pPr>
              <w:pStyle w:val="Compact"/>
            </w:pPr>
            <w:r>
              <w:t xml:space="preserve">Automatic (RSS)</w:t>
            </w:r>
          </w:p>
        </w:tc>
      </w:tr>
      <w:tr>
        <w:tc>
          <w:tcPr/>
          <w:p>
            <w:pPr>
              <w:pStyle w:val="Compact"/>
            </w:pPr>
            <w:r>
              <w:t xml:space="preserve">CISA PSIRT feeds</w:t>
            </w:r>
          </w:p>
        </w:tc>
        <w:tc>
          <w:tcPr/>
          <w:p>
            <w:pPr>
              <w:pStyle w:val="Compact"/>
            </w:pPr>
            <w:r>
              <w:t xml:space="preserve">Subscription</w:t>
            </w:r>
          </w:p>
        </w:tc>
        <w:tc>
          <w:tcPr/>
          <w:p>
            <w:pPr>
              <w:pStyle w:val="Compact"/>
            </w:pPr>
            <w:r>
              <w:t xml:space="preserve">VEX/VDR-relevant vendor advisories</w:t>
            </w:r>
          </w:p>
        </w:tc>
        <w:tc>
          <w:tcPr/>
          <w:p>
            <w:pPr>
              <w:pStyle w:val="Compact"/>
            </w:pPr>
            <w:r>
              <w:t xml:space="preserve">Automatic</w:t>
            </w:r>
          </w:p>
        </w:tc>
      </w:tr>
      <w:tr>
        <w:tc>
          <w:tcPr/>
          <w:p>
            <w:pPr>
              <w:pStyle w:val="Compact"/>
            </w:pPr>
            <w:r>
              <w:t xml:space="preserve">NIST NVD</w:t>
            </w:r>
          </w:p>
        </w:tc>
        <w:tc>
          <w:tcPr/>
          <w:p>
            <w:pPr>
              <w:pStyle w:val="Compact"/>
            </w:pPr>
            <w:r>
              <w:t xml:space="preserve">Data consumer</w:t>
            </w:r>
          </w:p>
        </w:tc>
        <w:tc>
          <w:tcPr/>
          <w:p>
            <w:pPr>
              <w:pStyle w:val="Compact"/>
            </w:pPr>
            <w:r>
              <w:t xml:space="preserve">CVE/CVSS feed for SBOM VDR generation</w:t>
            </w:r>
          </w:p>
        </w:tc>
        <w:tc>
          <w:tcPr/>
          <w:p>
            <w:pPr>
              <w:pStyle w:val="Compact"/>
            </w:pPr>
            <w:r>
              <w:t xml:space="preserve">Daily automated pull</w:t>
            </w:r>
          </w:p>
        </w:tc>
      </w:tr>
    </w:tbl>
    <w:bookmarkEnd w:id="114"/>
    <w:bookmarkStart w:id="115" w:name="security-industry-contacts"/>
    <w:p>
      <w:pPr>
        <w:pStyle w:val="Heading3"/>
      </w:pPr>
      <w:r>
        <w:t xml:space="preserve">Security Industry Contacts</w:t>
      </w:r>
    </w:p>
    <w:tbl>
      <w:tblPr>
        <w:tblStyle w:val="Table"/>
        <w:tblW w:type="pct" w:w="5000"/>
        <w:tblLayout w:type="fixed"/>
        <w:tblLook w:firstRow="1" w:lastRow="0" w:firstColumn="0" w:lastColumn="0" w:noHBand="0" w:noVBand="0" w:val="0020"/>
      </w:tblPr>
      <w:tblGrid>
        <w:gridCol w:w="4680"/>
        <w:gridCol w:w="3240"/>
      </w:tblGrid>
      <w:tr>
        <w:trPr>
          <w:tblHeader w:val="on"/>
        </w:trPr>
        <w:tc>
          <w:tcPr/>
          <w:p>
            <w:pPr>
              <w:pStyle w:val="Compact"/>
            </w:pPr>
            <w:r>
              <w:t xml:space="preserve">Organization</w:t>
            </w:r>
          </w:p>
        </w:tc>
        <w:tc>
          <w:tcPr/>
          <w:p>
            <w:pPr>
              <w:pStyle w:val="Compact"/>
            </w:pPr>
            <w:r>
              <w:t xml:space="preserve">Purpose</w:t>
            </w:r>
          </w:p>
        </w:tc>
      </w:tr>
      <w:tr>
        <w:tc>
          <w:tcPr/>
          <w:p>
            <w:pPr>
              <w:pStyle w:val="Compact"/>
            </w:pPr>
            <w:r>
              <w:t xml:space="preserve">Cloud Security Alliance (CSA)</w:t>
            </w:r>
          </w:p>
        </w:tc>
        <w:tc>
          <w:tcPr/>
          <w:p>
            <w:pPr>
              <w:pStyle w:val="Compact"/>
            </w:pPr>
            <w:r>
              <w:t xml:space="preserve">FedRAMP best practices; STAR registry</w:t>
            </w:r>
          </w:p>
        </w:tc>
      </w:tr>
      <w:tr>
        <w:tc>
          <w:tcPr/>
          <w:p>
            <w:pPr>
              <w:pStyle w:val="Compact"/>
            </w:pPr>
            <w:r>
              <w:t xml:space="preserve">ACT-IAC</w:t>
            </w:r>
          </w:p>
        </w:tc>
        <w:tc>
          <w:tcPr/>
          <w:p>
            <w:pPr>
              <w:pStyle w:val="Compact"/>
            </w:pPr>
            <w:r>
              <w:t xml:space="preserve">Federal IT policy; FedRAMP 20x working groups</w:t>
            </w:r>
          </w:p>
        </w:tc>
      </w:tr>
      <w:tr>
        <w:tc>
          <w:tcPr/>
          <w:p>
            <w:pPr>
              <w:pStyle w:val="Compact"/>
            </w:pPr>
            <w:r>
              <w:t xml:space="preserve">ISACA</w:t>
            </w:r>
          </w:p>
        </w:tc>
        <w:tc>
          <w:tcPr/>
          <w:p>
            <w:pPr>
              <w:pStyle w:val="Compact"/>
            </w:pPr>
            <w:r>
              <w:t xml:space="preserve">Audit frameworks; COBIT alignment</w:t>
            </w:r>
          </w:p>
        </w:tc>
      </w:tr>
    </w:tbl>
    <w:p>
      <w:r>
        <w:pict>
          <v:rect style="width:0;height:1.5pt" o:hralign="center" o:hrstd="t" o:hr="t"/>
        </w:pict>
      </w:r>
    </w:p>
    <w:bookmarkEnd w:id="115"/>
    <w:bookmarkEnd w:id="116"/>
    <w:bookmarkEnd w:id="117"/>
    <w:bookmarkStart w:id="126" w:name="Xcb7d7a12a521ad2f34fcbc9b78b5c55b738633c"/>
    <w:p>
      <w:pPr>
        <w:pStyle w:val="Heading1"/>
      </w:pPr>
      <w:r>
        <w:t xml:space="preserve">Supply Chain Risk Management Governance Charter (PM-30)</w:t>
      </w:r>
    </w:p>
    <w:bookmarkStart w:id="118" w:name="charter-purpose-and-authority"/>
    <w:p>
      <w:pPr>
        <w:pStyle w:val="Heading2"/>
      </w:pPr>
      <w:r>
        <w:t xml:space="preserve">Charter Purpose and Authority</w:t>
      </w:r>
    </w:p>
    <w:p>
      <w:pPr>
        <w:pStyle w:val="FirstParagraph"/>
      </w:pPr>
      <w:r>
        <w:t xml:space="preserve">This Supply Chain Risk Management (SCRM) Governance Charter establishes Agency’s</w:t>
      </w:r>
      <w:r>
        <w:t xml:space="preserve"> </w:t>
      </w:r>
      <w:r>
        <w:t xml:space="preserve">organizational commitment to identifying, assessing, and managing supply chain</w:t>
      </w:r>
      <w:r>
        <w:t xml:space="preserve"> </w:t>
      </w:r>
      <w:r>
        <w:t xml:space="preserve">risks across the lifecycle of cloud services used to deliver Agency’s mission.</w:t>
      </w:r>
    </w:p>
    <w:p>
      <w:pPr>
        <w:pStyle w:val="BodyText"/>
      </w:pPr>
      <w:r>
        <w:rPr>
          <w:b/>
          <w:bCs/>
        </w:rPr>
        <w:t xml:space="preserve">Authority:</w:t>
      </w:r>
      <w:r>
        <w:t xml:space="preserve"> </w:t>
      </w:r>
      <w:r>
        <w:t xml:space="preserve">This charter is approved by the [Agency CISO / CIO] and reviewed</w:t>
      </w:r>
      <w:r>
        <w:t xml:space="preserve"> </w:t>
      </w:r>
      <w:r>
        <w:t xml:space="preserve">annually. It implements the requirements of NIST SP 800-161r1, EO 14028</w:t>
      </w:r>
      <w:r>
        <w:t xml:space="preserve"> </w:t>
      </w:r>
      <w:r>
        <w:t xml:space="preserve">§4(c), and FedRAMP 20x KSI-SCR.</w:t>
      </w:r>
    </w:p>
    <w:p>
      <w:pPr>
        <w:pStyle w:val="BodyText"/>
      </w:pPr>
      <w:r>
        <w:rPr>
          <w:b/>
          <w:bCs/>
        </w:rPr>
        <w:t xml:space="preserve">Scope:</w:t>
      </w:r>
      <w:r>
        <w:t xml:space="preserve"> </w:t>
      </w:r>
      <w:r>
        <w:t xml:space="preserve">All cloud services, third-party software components, hardware</w:t>
      </w:r>
      <w:r>
        <w:t xml:space="preserve"> </w:t>
      </w:r>
      <w:r>
        <w:t xml:space="preserve">components, and system integrators within the FedRAMP authorization boundary.</w:t>
      </w:r>
    </w:p>
    <w:bookmarkEnd w:id="118"/>
    <w:bookmarkStart w:id="119" w:name="scrm-organizational-structure"/>
    <w:p>
      <w:pPr>
        <w:pStyle w:val="Heading2"/>
      </w:pPr>
      <w:r>
        <w:t xml:space="preserve">SCRM Organizational Structure</w:t>
      </w:r>
    </w:p>
    <w:p>
      <w:pPr>
        <w:pStyle w:val="SourceCode"/>
      </w:pPr>
      <w:r>
        <w:rPr>
          <w:rStyle w:val="VerbatimChar"/>
        </w:rPr>
        <w:t xml:space="preserve">Agency CIO</w:t>
      </w:r>
      <w:r>
        <w:br/>
      </w:r>
      <w:r>
        <w:rPr>
          <w:rStyle w:val="VerbatimChar"/>
        </w:rPr>
        <w:t xml:space="preserve">└── CISO (SCRM Executive Sponsor)</w:t>
      </w:r>
      <w:r>
        <w:br/>
      </w:r>
      <w:r>
        <w:rPr>
          <w:rStyle w:val="VerbatimChar"/>
        </w:rPr>
        <w:t xml:space="preserve">    ├── ISSO (SCRM Program Manager — day-to-day)</w:t>
      </w:r>
      <w:r>
        <w:br/>
      </w:r>
      <w:r>
        <w:rPr>
          <w:rStyle w:val="VerbatimChar"/>
        </w:rPr>
        <w:t xml:space="preserve">    │   ├── DevSecOps Lead (SBOM pipeline owner)</w:t>
      </w:r>
      <w:r>
        <w:br/>
      </w:r>
      <w:r>
        <w:rPr>
          <w:rStyle w:val="VerbatimChar"/>
        </w:rPr>
        <w:t xml:space="preserve">    │   ├── Procurement Security Liaison (SR-2 acquisition clauses)</w:t>
      </w:r>
      <w:r>
        <w:br/>
      </w:r>
      <w:r>
        <w:rPr>
          <w:rStyle w:val="VerbatimChar"/>
        </w:rPr>
        <w:t xml:space="preserve">    │   └── Vendor Risk Analyst (supplier assessments, SR-6)</w:t>
      </w:r>
      <w:r>
        <w:br/>
      </w:r>
      <w:r>
        <w:rPr>
          <w:rStyle w:val="VerbatimChar"/>
        </w:rPr>
        <w:t xml:space="preserve">    └── Legal / Contracts (FOCI reviews, supply chain clauses)</w:t>
      </w:r>
    </w:p>
    <w:bookmarkEnd w:id="119"/>
    <w:bookmarkStart w:id="120" w:name="scrm-risk-categories"/>
    <w:p>
      <w:pPr>
        <w:pStyle w:val="Heading2"/>
      </w:pPr>
      <w:r>
        <w:t xml:space="preserve">SCRM Risk Categories</w:t>
      </w:r>
    </w:p>
    <w:p>
      <w:pPr>
        <w:pStyle w:val="FirstParagraph"/>
      </w:pPr>
      <w:r>
        <w:t xml:space="preserve">Agency’s SCRM program addresses five supply chain risk categories aligned with</w:t>
      </w:r>
      <w:r>
        <w:t xml:space="preserve"> </w:t>
      </w:r>
      <w:r>
        <w:t xml:space="preserve">NIST SP 800-161r1:</w:t>
      </w:r>
    </w:p>
    <w:tbl>
      <w:tblPr>
        <w:tblStyle w:val="Table"/>
        <w:tblW w:type="pct" w:w="5000"/>
        <w:tblLayout w:type="fixed"/>
        <w:tblLook w:firstRow="1" w:lastRow="0" w:firstColumn="0" w:lastColumn="0" w:noHBand="0" w:noVBand="0" w:val="0020"/>
      </w:tblPr>
      <w:tblGrid>
        <w:gridCol w:w="1650"/>
        <w:gridCol w:w="1485"/>
        <w:gridCol w:w="1650"/>
        <w:gridCol w:w="3135"/>
      </w:tblGrid>
      <w:tr>
        <w:trPr>
          <w:tblHeader w:val="on"/>
        </w:trPr>
        <w:tc>
          <w:tcPr/>
          <w:p>
            <w:pPr>
              <w:pStyle w:val="Compact"/>
            </w:pPr>
            <w:r>
              <w:t xml:space="preserve">Category</w:t>
            </w:r>
          </w:p>
        </w:tc>
        <w:tc>
          <w:tcPr/>
          <w:p>
            <w:pPr>
              <w:pStyle w:val="Compact"/>
            </w:pPr>
            <w:r>
              <w:t xml:space="preserve">Examples</w:t>
            </w:r>
          </w:p>
        </w:tc>
        <w:tc>
          <w:tcPr/>
          <w:p>
            <w:pPr>
              <w:pStyle w:val="Compact"/>
            </w:pPr>
            <w:r>
              <w:t xml:space="preserve">Controls</w:t>
            </w:r>
          </w:p>
        </w:tc>
        <w:tc>
          <w:tcPr/>
          <w:p>
            <w:pPr>
              <w:pStyle w:val="Compact"/>
            </w:pPr>
            <w:r>
              <w:t xml:space="preserve">Vol IV Books 02–03 Evidence</w:t>
            </w:r>
          </w:p>
        </w:tc>
      </w:tr>
      <w:tr>
        <w:tc>
          <w:tcPr/>
          <w:p>
            <w:pPr>
              <w:pStyle w:val="Compact"/>
            </w:pPr>
            <w:r>
              <w:rPr>
                <w:b/>
                <w:bCs/>
              </w:rPr>
              <w:t xml:space="preserve">Counterfeit components</w:t>
            </w:r>
          </w:p>
        </w:tc>
        <w:tc>
          <w:tcPr/>
          <w:p>
            <w:pPr>
              <w:pStyle w:val="Compact"/>
            </w:pPr>
            <w:r>
              <w:t xml:space="preserve">Fake open-source packages, typosquatting</w:t>
            </w:r>
          </w:p>
        </w:tc>
        <w:tc>
          <w:tcPr/>
          <w:p>
            <w:pPr>
              <w:pStyle w:val="Compact"/>
            </w:pPr>
            <w:r>
              <w:t xml:space="preserve">SR-3, SR-10</w:t>
            </w:r>
          </w:p>
        </w:tc>
        <w:tc>
          <w:tcPr/>
          <w:p>
            <w:pPr>
              <w:pStyle w:val="Compact"/>
            </w:pPr>
            <w:r>
              <w:t xml:space="preserve">SBOM + Cosign verification</w:t>
            </w:r>
          </w:p>
        </w:tc>
      </w:tr>
      <w:tr>
        <w:tc>
          <w:tcPr/>
          <w:p>
            <w:pPr>
              <w:pStyle w:val="Compact"/>
            </w:pPr>
            <w:r>
              <w:rPr>
                <w:b/>
                <w:bCs/>
              </w:rPr>
              <w:t xml:space="preserve">Tampered components</w:t>
            </w:r>
          </w:p>
        </w:tc>
        <w:tc>
          <w:tcPr/>
          <w:p>
            <w:pPr>
              <w:pStyle w:val="Compact"/>
            </w:pPr>
            <w:r>
              <w:t xml:space="preserve">Compromised build pipeline, malicious update</w:t>
            </w:r>
          </w:p>
        </w:tc>
        <w:tc>
          <w:tcPr/>
          <w:p>
            <w:pPr>
              <w:pStyle w:val="Compact"/>
            </w:pPr>
            <w:r>
              <w:t xml:space="preserve">SR-3, SA-10, SA-11</w:t>
            </w:r>
          </w:p>
        </w:tc>
        <w:tc>
          <w:tcPr/>
          <w:p>
            <w:pPr>
              <w:pStyle w:val="Compact"/>
            </w:pPr>
            <w:r>
              <w:t xml:space="preserve">SLSA provenance, Grype CI gate</w:t>
            </w:r>
          </w:p>
        </w:tc>
      </w:tr>
      <w:tr>
        <w:tc>
          <w:tcPr/>
          <w:p>
            <w:pPr>
              <w:pStyle w:val="Compact"/>
            </w:pPr>
            <w:r>
              <w:rPr>
                <w:b/>
                <w:bCs/>
              </w:rPr>
              <w:t xml:space="preserve">Vulnerable components</w:t>
            </w:r>
          </w:p>
        </w:tc>
        <w:tc>
          <w:tcPr/>
          <w:p>
            <w:pPr>
              <w:pStyle w:val="Compact"/>
            </w:pPr>
            <w:r>
              <w:t xml:space="preserve">Known CVEs in SBOM dependencies</w:t>
            </w:r>
          </w:p>
        </w:tc>
        <w:tc>
          <w:tcPr/>
          <w:p>
            <w:pPr>
              <w:pStyle w:val="Compact"/>
            </w:pPr>
            <w:r>
              <w:t xml:space="preserve">SR-5, SR-6, SR-11</w:t>
            </w:r>
          </w:p>
        </w:tc>
        <w:tc>
          <w:tcPr/>
          <w:p>
            <w:pPr>
              <w:pStyle w:val="Compact"/>
            </w:pPr>
            <w:r>
              <w:t xml:space="preserve">VDR (Grype output), KEV integration</w:t>
            </w:r>
          </w:p>
        </w:tc>
      </w:tr>
      <w:tr>
        <w:tc>
          <w:tcPr/>
          <w:p>
            <w:pPr>
              <w:pStyle w:val="Compact"/>
            </w:pPr>
            <w:r>
              <w:rPr>
                <w:b/>
                <w:bCs/>
              </w:rPr>
              <w:t xml:space="preserve">Unauthorized access by supplier</w:t>
            </w:r>
          </w:p>
        </w:tc>
        <w:tc>
          <w:tcPr/>
          <w:p>
            <w:pPr>
              <w:pStyle w:val="Compact"/>
            </w:pPr>
            <w:r>
              <w:t xml:space="preserve">Vendor with excessive access</w:t>
            </w:r>
          </w:p>
        </w:tc>
        <w:tc>
          <w:tcPr/>
          <w:p>
            <w:pPr>
              <w:pStyle w:val="Compact"/>
            </w:pPr>
            <w:r>
              <w:t xml:space="preserve">SR-6, AC-21</w:t>
            </w:r>
          </w:p>
        </w:tc>
        <w:tc>
          <w:tcPr/>
          <w:p>
            <w:pPr>
              <w:pStyle w:val="Compact"/>
            </w:pPr>
            <w:r>
              <w:t xml:space="preserve">Vol I Book 05 vendor access review</w:t>
            </w:r>
          </w:p>
        </w:tc>
      </w:tr>
      <w:tr>
        <w:tc>
          <w:tcPr/>
          <w:p>
            <w:pPr>
              <w:pStyle w:val="Compact"/>
            </w:pPr>
            <w:r>
              <w:rPr>
                <w:b/>
                <w:bCs/>
              </w:rPr>
              <w:t xml:space="preserve">Vendor financial/operational risk</w:t>
            </w:r>
          </w:p>
        </w:tc>
        <w:tc>
          <w:tcPr/>
          <w:p>
            <w:pPr>
              <w:pStyle w:val="Compact"/>
            </w:pPr>
            <w:r>
              <w:t xml:space="preserve">Vendor bankruptcy, PSIRT closure</w:t>
            </w:r>
          </w:p>
        </w:tc>
        <w:tc>
          <w:tcPr/>
          <w:p>
            <w:pPr>
              <w:pStyle w:val="Compact"/>
            </w:pPr>
            <w:r>
              <w:t xml:space="preserve">SR-8, PM-9</w:t>
            </w:r>
          </w:p>
        </w:tc>
        <w:tc>
          <w:tcPr/>
          <w:p>
            <w:pPr>
              <w:pStyle w:val="Compact"/>
            </w:pPr>
            <w:r>
              <w:t xml:space="preserve">Vendor disclosure matrix (Vol IV Book 02)</w:t>
            </w:r>
          </w:p>
        </w:tc>
      </w:tr>
    </w:tbl>
    <w:bookmarkEnd w:id="120"/>
    <w:bookmarkStart w:id="121" w:name="scrm-risk-assessment-process"/>
    <w:p>
      <w:pPr>
        <w:pStyle w:val="Heading2"/>
      </w:pPr>
      <w:r>
        <w:t xml:space="preserve">SCRM Risk Assessment Process</w:t>
      </w:r>
    </w:p>
    <w:p>
      <w:pPr>
        <w:pStyle w:val="FirstParagraph"/>
      </w:pPr>
      <w:r>
        <w:t xml:space="preserve">The SCRM risk assessment is performed:</w:t>
      </w:r>
      <w:r>
        <w:t xml:space="preserve"> </w:t>
      </w:r>
      <w:r>
        <w:t xml:space="preserve">-</w:t>
      </w:r>
      <w:r>
        <w:t xml:space="preserve"> </w:t>
      </w:r>
      <w:r>
        <w:rPr>
          <w:b/>
          <w:bCs/>
        </w:rPr>
        <w:t xml:space="preserve">Annually</w:t>
      </w:r>
      <w:r>
        <w:t xml:space="preserve"> </w:t>
      </w:r>
      <w:r>
        <w:t xml:space="preserve">— full assessment of all critical suppliers</w:t>
      </w:r>
      <w:r>
        <w:t xml:space="preserve"> </w:t>
      </w:r>
      <w:r>
        <w:t xml:space="preserve">-</w:t>
      </w:r>
      <w:r>
        <w:t xml:space="preserve"> </w:t>
      </w:r>
      <w:r>
        <w:rPr>
          <w:b/>
          <w:bCs/>
        </w:rPr>
        <w:t xml:space="preserve">On new procurement</w:t>
      </w:r>
      <w:r>
        <w:t xml:space="preserve"> </w:t>
      </w:r>
      <w:r>
        <w:t xml:space="preserve">— for any new third-party software component</w:t>
      </w:r>
      <w:r>
        <w:t xml:space="preserve"> </w:t>
      </w:r>
      <w:r>
        <w:t xml:space="preserve">-</w:t>
      </w:r>
      <w:r>
        <w:t xml:space="preserve"> </w:t>
      </w:r>
      <w:r>
        <w:rPr>
          <w:b/>
          <w:bCs/>
        </w:rPr>
        <w:t xml:space="preserve">On CVE disclosure</w:t>
      </w:r>
      <w:r>
        <w:t xml:space="preserve"> </w:t>
      </w:r>
      <w:r>
        <w:t xml:space="preserve">— triggered by KEV additions or vendor PSIRT advisories</w:t>
      </w:r>
      <w:r>
        <w:t xml:space="preserve"> </w:t>
      </w:r>
      <w:r>
        <w:t xml:space="preserve">-</w:t>
      </w:r>
      <w:r>
        <w:t xml:space="preserve"> </w:t>
      </w:r>
      <w:r>
        <w:rPr>
          <w:b/>
          <w:bCs/>
        </w:rPr>
        <w:t xml:space="preserve">On change</w:t>
      </w:r>
      <w:r>
        <w:t xml:space="preserve"> </w:t>
      </w:r>
      <w:r>
        <w:t xml:space="preserve">— when the SBOM diff shows a new dependency or version bump</w:t>
      </w:r>
    </w:p>
    <w:p>
      <w:pPr>
        <w:pStyle w:val="BodyText"/>
      </w:pPr>
      <w:r>
        <w:rPr>
          <w:b/>
          <w:bCs/>
        </w:rPr>
        <w:t xml:space="preserve">Assessment Inputs:</w:t>
      </w:r>
      <w:r>
        <w:t xml:space="preserve"> </w:t>
      </w:r>
      <w:r>
        <w:t xml:space="preserve">1. SBOM manifest (Syft output, Vol IV Book 02) — identifies all components and suppliers</w:t>
      </w:r>
      <w:r>
        <w:t xml:space="preserve"> </w:t>
      </w:r>
      <w:r>
        <w:t xml:space="preserve">2. VDR (Grype output, Vol IV Book 02) — identifies exploitable vulnerabilities</w:t>
      </w:r>
      <w:r>
        <w:t xml:space="preserve"> </w:t>
      </w:r>
      <w:r>
        <w:t xml:space="preserve">3. Vendor disclosure matrix (Vol IV Book 02 §5) — supplier security posture</w:t>
      </w:r>
      <w:r>
        <w:t xml:space="preserve"> </w:t>
      </w:r>
      <w:r>
        <w:t xml:space="preserve">4. KEV feed (CISA, integrated via Vol III Book 06 Sentinel) — known exploited CVEs</w:t>
      </w:r>
      <w:r>
        <w:t xml:space="preserve"> </w:t>
      </w:r>
      <w:r>
        <w:t xml:space="preserve">5. PSIRT/MSRC subscriptions (Vol IV Book 02 §5 Vendor Disclosure Matrix; §8 Continuous Monitoring) — vendor security advisories</w:t>
      </w:r>
    </w:p>
    <w:p>
      <w:pPr>
        <w:pStyle w:val="BodyText"/>
      </w:pPr>
      <w:r>
        <w:rPr>
          <w:b/>
          <w:bCs/>
        </w:rPr>
        <w:t xml:space="preserve">Assessment Output:</w:t>
      </w:r>
      <w:r>
        <w:t xml:space="preserve"> </w:t>
      </w:r>
      <w:r>
        <w:t xml:space="preserve">- SCRM risk register update (referenced in PM-9 §5.3 above)</w:t>
      </w:r>
      <w:r>
        <w:t xml:space="preserve"> </w:t>
      </w:r>
      <w:r>
        <w:t xml:space="preserve">- VEX assertions for each CVE (OpenVEX format, Vol IV Book 02 §5)</w:t>
      </w:r>
      <w:r>
        <w:t xml:space="preserve"> </w:t>
      </w:r>
      <w:r>
        <w:t xml:space="preserve">- Remediation actions (POA&amp;M items for unmitigated critical CVEs)</w:t>
      </w:r>
    </w:p>
    <w:bookmarkEnd w:id="121"/>
    <w:bookmarkStart w:id="122" w:name="supplier-requirements"/>
    <w:p>
      <w:pPr>
        <w:pStyle w:val="Heading2"/>
      </w:pPr>
      <w:r>
        <w:t xml:space="preserve">Supplier Requirements</w:t>
      </w:r>
    </w:p>
    <w:p>
      <w:pPr>
        <w:pStyle w:val="FirstParagraph"/>
      </w:pPr>
      <w:r>
        <w:t xml:space="preserve">All suppliers of software components within the authorization boundary must:</w:t>
      </w:r>
    </w:p>
    <w:p>
      <w:pPr>
        <w:pStyle w:val="Compact"/>
        <w:numPr>
          <w:ilvl w:val="0"/>
          <w:numId w:val="1025"/>
        </w:numPr>
      </w:pPr>
      <w:r>
        <w:rPr>
          <w:b/>
          <w:bCs/>
        </w:rPr>
        <w:t xml:space="preserve">Provide an SBOM</w:t>
      </w:r>
      <w:r>
        <w:t xml:space="preserve"> </w:t>
      </w:r>
      <w:r>
        <w:t xml:space="preserve">in CycloneDX 1.6 or SPDX 2.3 format for all software</w:t>
      </w:r>
      <w:r>
        <w:t xml:space="preserve"> </w:t>
      </w:r>
      <w:r>
        <w:t xml:space="preserve">delivered, within 30 days of contract award and within 15 days of any</w:t>
      </w:r>
      <w:r>
        <w:t xml:space="preserve"> </w:t>
      </w:r>
      <w:r>
        <w:t xml:space="preserve">production update</w:t>
      </w:r>
    </w:p>
    <w:p>
      <w:pPr>
        <w:pStyle w:val="Compact"/>
        <w:numPr>
          <w:ilvl w:val="0"/>
          <w:numId w:val="1025"/>
        </w:numPr>
      </w:pPr>
      <w:r>
        <w:rPr>
          <w:b/>
          <w:bCs/>
        </w:rPr>
        <w:t xml:space="preserve">Maintain a PSIRT</w:t>
      </w:r>
      <w:r>
        <w:t xml:space="preserve"> </w:t>
      </w:r>
      <w:r>
        <w:t xml:space="preserve">or designate a security contact reachable within</w:t>
      </w:r>
      <w:r>
        <w:t xml:space="preserve"> </w:t>
      </w:r>
      <w:r>
        <w:t xml:space="preserve">24 hours of a critical CVE disclosure</w:t>
      </w:r>
    </w:p>
    <w:p>
      <w:pPr>
        <w:pStyle w:val="Compact"/>
        <w:numPr>
          <w:ilvl w:val="0"/>
          <w:numId w:val="1025"/>
        </w:numPr>
      </w:pPr>
      <w:r>
        <w:rPr>
          <w:b/>
          <w:bCs/>
        </w:rPr>
        <w:t xml:space="preserve">Notify Agency</w:t>
      </w:r>
      <w:r>
        <w:t xml:space="preserve"> </w:t>
      </w:r>
      <w:r>
        <w:t xml:space="preserve">within 72 hours of discovery of any security incident that</w:t>
      </w:r>
      <w:r>
        <w:t xml:space="preserve"> </w:t>
      </w:r>
      <w:r>
        <w:t xml:space="preserve">may affect components in Agency’s production environment</w:t>
      </w:r>
    </w:p>
    <w:p>
      <w:pPr>
        <w:pStyle w:val="Compact"/>
        <w:numPr>
          <w:ilvl w:val="0"/>
          <w:numId w:val="1025"/>
        </w:numPr>
      </w:pPr>
      <w:r>
        <w:rPr>
          <w:b/>
          <w:bCs/>
        </w:rPr>
        <w:t xml:space="preserve">Submit VEX assertions</w:t>
      </w:r>
      <w:r>
        <w:t xml:space="preserve"> </w:t>
      </w:r>
      <w:r>
        <w:t xml:space="preserve">for CVEs identified in their components within</w:t>
      </w:r>
      <w:r>
        <w:t xml:space="preserve"> </w:t>
      </w:r>
      <w:r>
        <w:t xml:space="preserve">30 days of CVE publication (NVD)</w:t>
      </w:r>
    </w:p>
    <w:p>
      <w:pPr>
        <w:pStyle w:val="Compact"/>
        <w:numPr>
          <w:ilvl w:val="0"/>
          <w:numId w:val="1025"/>
        </w:numPr>
      </w:pPr>
      <w:r>
        <w:rPr>
          <w:b/>
          <w:bCs/>
        </w:rPr>
        <w:t xml:space="preserve">Accept Agency SCRM audit rights</w:t>
      </w:r>
      <w:r>
        <w:t xml:space="preserve"> </w:t>
      </w:r>
      <w:r>
        <w:t xml:space="preserve">— the right to audit the supplier’s</w:t>
      </w:r>
      <w:r>
        <w:t xml:space="preserve"> </w:t>
      </w:r>
      <w:r>
        <w:t xml:space="preserve">security practices with 30 days’ notice</w:t>
      </w:r>
    </w:p>
    <w:p>
      <w:pPr>
        <w:pStyle w:val="BlockText"/>
      </w:pPr>
      <w:r>
        <w:t xml:space="preserve">[FILLABLE] Insert contract clause language for SR-2/SR-3 requirements.</w:t>
      </w:r>
      <w:r>
        <w:t xml:space="preserve"> </w:t>
      </w:r>
      <w:r>
        <w:t xml:space="preserve">Coordinate with Agency Contracts and Procurement to embed SBOM requirement</w:t>
      </w:r>
      <w:r>
        <w:t xml:space="preserve"> </w:t>
      </w:r>
      <w:r>
        <w:t xml:space="preserve">in the standard Acquisition/Vendor Agreement template.</w:t>
      </w:r>
    </w:p>
    <w:bookmarkEnd w:id="122"/>
    <w:bookmarkStart w:id="123" w:name="supply-chain-evidence-posture-eo-14028-4"/>
    <w:p>
      <w:pPr>
        <w:pStyle w:val="Heading2"/>
      </w:pPr>
      <w:r>
        <w:t xml:space="preserve">Supply-Chain Evidence Posture (EO 14028 §4)</w:t>
      </w:r>
    </w:p>
    <w:p>
      <w:pPr>
        <w:pStyle w:val="FirstParagraph"/>
      </w:pPr>
      <w:r>
        <w:t xml:space="preserve">The SBOM / VDR / VEX evidence artifacts are mandated by EO 14028 §4 and NIST SP</w:t>
      </w:r>
      <w:r>
        <w:t xml:space="preserve"> </w:t>
      </w:r>
      <w:r>
        <w:t xml:space="preserve">800-161 — not by BOD 26-04, which governs the risk-tiered</w:t>
      </w:r>
      <w:r>
        <w:t xml:space="preserve"> </w:t>
      </w:r>
      <w:r>
        <w:rPr>
          <w:i/>
          <w:iCs/>
        </w:rPr>
        <w:t xml:space="preserve">remediation</w:t>
      </w:r>
      <w:r>
        <w:t xml:space="preserve"> </w:t>
      </w:r>
      <w:r>
        <w:t xml:space="preserve">timelines. The pipeline is built in Vol IV Book 02; FedRAMP’s VDR/VER rule sets</w:t>
      </w:r>
      <w:r>
        <w:t xml:space="preserve"> </w:t>
      </w:r>
      <w:r>
        <w:t xml:space="preserve">(NTC-0014) and BOD 26-04’s remediation timelines both take effect</w:t>
      </w:r>
      <w:r>
        <w:t xml:space="preserve"> </w:t>
      </w:r>
      <w:r>
        <w:rPr>
          <w:b/>
          <w:bCs/>
        </w:rPr>
        <w:t xml:space="preserve">December 7,</w:t>
      </w:r>
      <w:r>
        <w:rPr>
          <w:b/>
          <w:bCs/>
        </w:rPr>
        <w:t xml:space="preserve"> </w:t>
      </w:r>
      <w:r>
        <w:rPr>
          <w:b/>
          <w:bCs/>
        </w:rPr>
        <w:t xml:space="preserve">2026</w:t>
      </w:r>
      <w:r>
        <w:t xml:space="preserve">.</w:t>
      </w:r>
    </w:p>
    <w:tbl>
      <w:tblPr>
        <w:tblStyle w:val="Table"/>
        <w:tblW w:type="pct" w:w="5000"/>
        <w:tblLayout w:type="fixed"/>
        <w:tblLook w:firstRow="1" w:lastRow="0" w:firstColumn="0" w:lastColumn="0" w:noHBand="0" w:noVBand="0" w:val="0020"/>
      </w:tblPr>
      <w:tblGrid>
        <w:gridCol w:w="2527"/>
        <w:gridCol w:w="1685"/>
        <w:gridCol w:w="2022"/>
        <w:gridCol w:w="1685"/>
      </w:tblGrid>
      <w:tr>
        <w:trPr>
          <w:tblHeader w:val="on"/>
        </w:trPr>
        <w:tc>
          <w:tcPr/>
          <w:p>
            <w:pPr>
              <w:pStyle w:val="Compact"/>
            </w:pPr>
            <w:r>
              <w:t xml:space="preserve">Evidence Tier</w:t>
            </w:r>
          </w:p>
        </w:tc>
        <w:tc>
          <w:tcPr/>
          <w:p>
            <w:pPr>
              <w:pStyle w:val="Compact"/>
            </w:pPr>
            <w:r>
              <w:t xml:space="preserve">Artifact</w:t>
            </w:r>
          </w:p>
        </w:tc>
        <w:tc>
          <w:tcPr/>
          <w:p>
            <w:pPr>
              <w:pStyle w:val="Compact"/>
            </w:pPr>
            <w:r>
              <w:t xml:space="preserve">Agency Status</w:t>
            </w:r>
          </w:p>
        </w:tc>
        <w:tc>
          <w:tcPr/>
          <w:p>
            <w:pPr>
              <w:pStyle w:val="Compact"/>
            </w:pPr>
            <w:r>
              <w:t xml:space="preserve">Evidence</w:t>
            </w:r>
          </w:p>
        </w:tc>
      </w:tr>
      <w:tr>
        <w:tc>
          <w:tcPr/>
          <w:p>
            <w:pPr>
              <w:pStyle w:val="Compact"/>
            </w:pPr>
            <w:r>
              <w:t xml:space="preserve">Tier 1: SBOM</w:t>
            </w:r>
          </w:p>
        </w:tc>
        <w:tc>
          <w:tcPr/>
          <w:p>
            <w:pPr>
              <w:pStyle w:val="Compact"/>
            </w:pPr>
            <w:r>
              <w:t xml:space="preserve">Machine-readable SBOM for all systems</w:t>
            </w:r>
          </w:p>
        </w:tc>
        <w:tc>
          <w:tcPr/>
          <w:p>
            <w:pPr>
              <w:pStyle w:val="Compact"/>
            </w:pPr>
            <w:r>
              <w:t xml:space="preserve">Pipeline built; formal submission due Dec 7 2026</w:t>
            </w:r>
          </w:p>
        </w:tc>
        <w:tc>
          <w:tcPr/>
          <w:p>
            <w:pPr>
              <w:pStyle w:val="Compact"/>
            </w:pPr>
            <w:r>
              <w:t xml:space="preserve">Vol IV Book 02, Syft pipeline</w:t>
            </w:r>
          </w:p>
        </w:tc>
      </w:tr>
      <w:tr>
        <w:tc>
          <w:tcPr/>
          <w:p>
            <w:pPr>
              <w:pStyle w:val="Compact"/>
            </w:pPr>
            <w:r>
              <w:t xml:space="preserve">Tier 2: VDR</w:t>
            </w:r>
          </w:p>
        </w:tc>
        <w:tc>
          <w:tcPr/>
          <w:p>
            <w:pPr>
              <w:pStyle w:val="Compact"/>
            </w:pPr>
            <w:r>
              <w:t xml:space="preserve">Vulnerability Disclosure Report (CycloneDX)</w:t>
            </w:r>
          </w:p>
        </w:tc>
        <w:tc>
          <w:tcPr/>
          <w:p>
            <w:pPr>
              <w:pStyle w:val="Compact"/>
            </w:pPr>
            <w:r>
              <w:t xml:space="preserve">Pipeline built; formal submission due Dec 7 2026</w:t>
            </w:r>
          </w:p>
        </w:tc>
        <w:tc>
          <w:tcPr/>
          <w:p>
            <w:pPr>
              <w:pStyle w:val="Compact"/>
            </w:pPr>
            <w:r>
              <w:t xml:space="preserve">Vol IV Book 02, Grype output</w:t>
            </w:r>
          </w:p>
        </w:tc>
      </w:tr>
      <w:tr>
        <w:tc>
          <w:tcPr/>
          <w:p>
            <w:pPr>
              <w:pStyle w:val="Compact"/>
            </w:pPr>
            <w:r>
              <w:t xml:space="preserve">Tier 3: VEX</w:t>
            </w:r>
          </w:p>
        </w:tc>
        <w:tc>
          <w:tcPr/>
          <w:p>
            <w:pPr>
              <w:pStyle w:val="Compact"/>
            </w:pPr>
            <w:r>
              <w:t xml:space="preserve">Vulnerability Exploitability eXchange</w:t>
            </w:r>
          </w:p>
        </w:tc>
        <w:tc>
          <w:tcPr/>
          <w:p>
            <w:pPr>
              <w:pStyle w:val="Compact"/>
            </w:pPr>
            <w:r>
              <w:t xml:space="preserve">Pipeline built; formal submission due Dec 7 2026</w:t>
            </w:r>
          </w:p>
        </w:tc>
        <w:tc>
          <w:tcPr/>
          <w:p>
            <w:pPr>
              <w:pStyle w:val="Compact"/>
            </w:pPr>
            <w:r>
              <w:t xml:space="preserve">Vol IV Book 02, OpenVEX JSON</w:t>
            </w:r>
          </w:p>
        </w:tc>
      </w:tr>
    </w:tbl>
    <w:p>
      <w:pPr>
        <w:pStyle w:val="BodyText"/>
      </w:pPr>
      <w:r>
        <w:t xml:space="preserve">Agency’s SCRM program satisfies all three BOD 26-04 tiers through the technical</w:t>
      </w:r>
      <w:r>
        <w:t xml:space="preserve"> </w:t>
      </w:r>
      <w:r>
        <w:t xml:space="preserve">pipeline established in Vol IV Book 02 (SBOM + VDR + VEX Framework) and the</w:t>
      </w:r>
      <w:r>
        <w:t xml:space="preserve"> </w:t>
      </w:r>
      <w:r>
        <w:t xml:space="preserve">organizational governance framework established in this charter.</w:t>
      </w:r>
    </w:p>
    <w:bookmarkEnd w:id="123"/>
    <w:bookmarkStart w:id="124" w:name="scrm-governance-cadence"/>
    <w:p>
      <w:pPr>
        <w:pStyle w:val="Heading2"/>
      </w:pPr>
      <w:r>
        <w:t xml:space="preserve">SCRM Governance Cadence</w:t>
      </w:r>
    </w:p>
    <w:tbl>
      <w:tblPr>
        <w:tblStyle w:val="Table"/>
        <w:tblW w:type="pct" w:w="5000"/>
        <w:tblLayout w:type="fixed"/>
        <w:tblLook w:firstRow="1" w:lastRow="0" w:firstColumn="0" w:lastColumn="0" w:noHBand="0" w:noVBand="0" w:val="0020"/>
      </w:tblPr>
      <w:tblGrid>
        <w:gridCol w:w="2200"/>
        <w:gridCol w:w="2420"/>
        <w:gridCol w:w="1540"/>
        <w:gridCol w:w="1760"/>
      </w:tblGrid>
      <w:tr>
        <w:trPr>
          <w:tblHeader w:val="on"/>
        </w:trPr>
        <w:tc>
          <w:tcPr/>
          <w:p>
            <w:pPr>
              <w:pStyle w:val="Compact"/>
            </w:pPr>
            <w:r>
              <w:t xml:space="preserve">Activity</w:t>
            </w:r>
          </w:p>
        </w:tc>
        <w:tc>
          <w:tcPr/>
          <w:p>
            <w:pPr>
              <w:pStyle w:val="Compact"/>
            </w:pPr>
            <w:r>
              <w:t xml:space="preserve">Frequency</w:t>
            </w:r>
          </w:p>
        </w:tc>
        <w:tc>
          <w:tcPr/>
          <w:p>
            <w:pPr>
              <w:pStyle w:val="Compact"/>
            </w:pPr>
            <w:r>
              <w:t xml:space="preserve">Owner</w:t>
            </w:r>
          </w:p>
        </w:tc>
        <w:tc>
          <w:tcPr/>
          <w:p>
            <w:pPr>
              <w:pStyle w:val="Compact"/>
            </w:pPr>
            <w:r>
              <w:t xml:space="preserve">Output</w:t>
            </w:r>
          </w:p>
        </w:tc>
      </w:tr>
      <w:tr>
        <w:tc>
          <w:tcPr/>
          <w:p>
            <w:pPr>
              <w:pStyle w:val="Compact"/>
            </w:pPr>
            <w:r>
              <w:t xml:space="preserve">SBOM scan (CI gate)</w:t>
            </w:r>
          </w:p>
        </w:tc>
        <w:tc>
          <w:tcPr/>
          <w:p>
            <w:pPr>
              <w:pStyle w:val="Compact"/>
            </w:pPr>
            <w:r>
              <w:t xml:space="preserve">Every PR merge</w:t>
            </w:r>
          </w:p>
        </w:tc>
        <w:tc>
          <w:tcPr/>
          <w:p>
            <w:pPr>
              <w:pStyle w:val="Compact"/>
            </w:pPr>
            <w:r>
              <w:t xml:space="preserve">DevSecOps</w:t>
            </w:r>
          </w:p>
        </w:tc>
        <w:tc>
          <w:tcPr/>
          <w:p>
            <w:pPr>
              <w:pStyle w:val="Compact"/>
            </w:pPr>
            <w:r>
              <w:t xml:space="preserve">VDR (Grype)</w:t>
            </w:r>
          </w:p>
        </w:tc>
      </w:tr>
      <w:tr>
        <w:tc>
          <w:tcPr/>
          <w:p>
            <w:pPr>
              <w:pStyle w:val="Compact"/>
            </w:pPr>
            <w:r>
              <w:t xml:space="preserve">VEX assertion review</w:t>
            </w:r>
          </w:p>
        </w:tc>
        <w:tc>
          <w:tcPr/>
          <w:p>
            <w:pPr>
              <w:pStyle w:val="Compact"/>
            </w:pPr>
            <w:r>
              <w:t xml:space="preserve">90-day cycle</w:t>
            </w:r>
          </w:p>
        </w:tc>
        <w:tc>
          <w:tcPr/>
          <w:p>
            <w:pPr>
              <w:pStyle w:val="Compact"/>
            </w:pPr>
            <w:r>
              <w:t xml:space="preserve">ISSO</w:t>
            </w:r>
          </w:p>
        </w:tc>
        <w:tc>
          <w:tcPr/>
          <w:p>
            <w:pPr>
              <w:pStyle w:val="Compact"/>
            </w:pPr>
            <w:r>
              <w:t xml:space="preserve">Signed VEX JSON</w:t>
            </w:r>
          </w:p>
        </w:tc>
      </w:tr>
      <w:tr>
        <w:tc>
          <w:tcPr/>
          <w:p>
            <w:pPr>
              <w:pStyle w:val="Compact"/>
            </w:pPr>
            <w:r>
              <w:t xml:space="preserve">Vendor disclosure matrix review</w:t>
            </w:r>
          </w:p>
        </w:tc>
        <w:tc>
          <w:tcPr/>
          <w:p>
            <w:pPr>
              <w:pStyle w:val="Compact"/>
            </w:pPr>
            <w:r>
              <w:t xml:space="preserve">Annual + on change</w:t>
            </w:r>
          </w:p>
        </w:tc>
        <w:tc>
          <w:tcPr/>
          <w:p>
            <w:pPr>
              <w:pStyle w:val="Compact"/>
            </w:pPr>
            <w:r>
              <w:t xml:space="preserve">Vendor Risk Analyst</w:t>
            </w:r>
          </w:p>
        </w:tc>
        <w:tc>
          <w:tcPr/>
          <w:p>
            <w:pPr>
              <w:pStyle w:val="Compact"/>
            </w:pPr>
            <w:r>
              <w:t xml:space="preserve">Updated matrix</w:t>
            </w:r>
          </w:p>
        </w:tc>
      </w:tr>
      <w:tr>
        <w:tc>
          <w:tcPr/>
          <w:p>
            <w:pPr>
              <w:pStyle w:val="Compact"/>
            </w:pPr>
            <w:r>
              <w:t xml:space="preserve">SCRM risk register review</w:t>
            </w:r>
          </w:p>
        </w:tc>
        <w:tc>
          <w:tcPr/>
          <w:p>
            <w:pPr>
              <w:pStyle w:val="Compact"/>
            </w:pPr>
            <w:r>
              <w:t xml:space="preserve">Quarterly</w:t>
            </w:r>
          </w:p>
        </w:tc>
        <w:tc>
          <w:tcPr/>
          <w:p>
            <w:pPr>
              <w:pStyle w:val="Compact"/>
            </w:pPr>
            <w:r>
              <w:t xml:space="preserve">ISSO</w:t>
            </w:r>
          </w:p>
        </w:tc>
        <w:tc>
          <w:tcPr/>
          <w:p>
            <w:pPr>
              <w:pStyle w:val="Compact"/>
            </w:pPr>
            <w:r>
              <w:t xml:space="preserve">Risk register update</w:t>
            </w:r>
          </w:p>
        </w:tc>
      </w:tr>
      <w:tr>
        <w:tc>
          <w:tcPr/>
          <w:p>
            <w:pPr>
              <w:pStyle w:val="Compact"/>
            </w:pPr>
            <w:r>
              <w:t xml:space="preserve">Supplier SBOM receipt</w:t>
            </w:r>
          </w:p>
        </w:tc>
        <w:tc>
          <w:tcPr/>
          <w:p>
            <w:pPr>
              <w:pStyle w:val="Compact"/>
            </w:pPr>
            <w:r>
              <w:t xml:space="preserve">On delivery + quarterly</w:t>
            </w:r>
          </w:p>
        </w:tc>
        <w:tc>
          <w:tcPr/>
          <w:p>
            <w:pPr>
              <w:pStyle w:val="Compact"/>
            </w:pPr>
            <w:r>
              <w:t xml:space="preserve">Procurement Liaison</w:t>
            </w:r>
          </w:p>
        </w:tc>
        <w:tc>
          <w:tcPr/>
          <w:p>
            <w:pPr>
              <w:pStyle w:val="Compact"/>
            </w:pPr>
            <w:r>
              <w:t xml:space="preserve">Supplier SBOM log</w:t>
            </w:r>
          </w:p>
        </w:tc>
      </w:tr>
      <w:tr>
        <w:tc>
          <w:tcPr/>
          <w:p>
            <w:pPr>
              <w:pStyle w:val="Compact"/>
            </w:pPr>
            <w:r>
              <w:t xml:space="preserve">PSIRT subscription check</w:t>
            </w:r>
          </w:p>
        </w:tc>
        <w:tc>
          <w:tcPr/>
          <w:p>
            <w:pPr>
              <w:pStyle w:val="Compact"/>
            </w:pPr>
            <w:r>
              <w:t xml:space="preserve">Monthly</w:t>
            </w:r>
          </w:p>
        </w:tc>
        <w:tc>
          <w:tcPr/>
          <w:p>
            <w:pPr>
              <w:pStyle w:val="Compact"/>
            </w:pPr>
            <w:r>
              <w:t xml:space="preserve">DevSecOps</w:t>
            </w:r>
          </w:p>
        </w:tc>
        <w:tc>
          <w:tcPr/>
          <w:p>
            <w:pPr>
              <w:pStyle w:val="Compact"/>
            </w:pPr>
            <w:r>
              <w:t xml:space="preserve">Subscription roster</w:t>
            </w:r>
          </w:p>
        </w:tc>
      </w:tr>
      <w:tr>
        <w:tc>
          <w:tcPr/>
          <w:p>
            <w:pPr>
              <w:pStyle w:val="Compact"/>
            </w:pPr>
            <w:r>
              <w:t xml:space="preserve">SCRM charter review</w:t>
            </w:r>
          </w:p>
        </w:tc>
        <w:tc>
          <w:tcPr/>
          <w:p>
            <w:pPr>
              <w:pStyle w:val="Compact"/>
            </w:pPr>
            <w:r>
              <w:t xml:space="preserve">Annual</w:t>
            </w:r>
          </w:p>
        </w:tc>
        <w:tc>
          <w:tcPr/>
          <w:p>
            <w:pPr>
              <w:pStyle w:val="Compact"/>
            </w:pPr>
            <w:r>
              <w:t xml:space="preserve">CISO</w:t>
            </w:r>
          </w:p>
        </w:tc>
        <w:tc>
          <w:tcPr/>
          <w:p>
            <w:pPr>
              <w:pStyle w:val="Compact"/>
            </w:pPr>
            <w:r>
              <w:t xml:space="preserve">Approved charter revision</w:t>
            </w:r>
          </w:p>
        </w:tc>
      </w:tr>
      <w:tr>
        <w:tc>
          <w:tcPr/>
          <w:p>
            <w:pPr>
              <w:pStyle w:val="Compact"/>
            </w:pPr>
            <w:r>
              <w:t xml:space="preserve">BOD 26-04 submission check</w:t>
            </w:r>
          </w:p>
        </w:tc>
        <w:tc>
          <w:tcPr/>
          <w:p>
            <w:pPr>
              <w:pStyle w:val="Compact"/>
            </w:pPr>
            <w:r>
              <w:t xml:space="preserve">Pre-deadline (Oct 1)</w:t>
            </w:r>
          </w:p>
        </w:tc>
        <w:tc>
          <w:tcPr/>
          <w:p>
            <w:pPr>
              <w:pStyle w:val="Compact"/>
            </w:pPr>
            <w:r>
              <w:t xml:space="preserve">CISO / AO</w:t>
            </w:r>
          </w:p>
        </w:tc>
        <w:tc>
          <w:tcPr/>
          <w:p>
            <w:pPr>
              <w:pStyle w:val="Compact"/>
            </w:pPr>
            <w:r>
              <w:t xml:space="preserve">VDR/VER submission package</w:t>
            </w:r>
          </w:p>
        </w:tc>
      </w:tr>
    </w:tbl>
    <w:bookmarkEnd w:id="124"/>
    <w:bookmarkStart w:id="125" w:name="charter-approval"/>
    <w:p>
      <w:pPr>
        <w:pStyle w:val="Heading2"/>
      </w:pPr>
      <w:r>
        <w:t xml:space="preserve">Charter Approval</w:t>
      </w:r>
    </w:p>
    <w:p>
      <w:pPr>
        <w:pStyle w:val="FirstParagraph"/>
      </w:pPr>
      <w:r>
        <w:t xml:space="preserve">This SCRM Governance Charter has been reviewed and approved by: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CISO / SAISO</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CIO</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AO</w:t>
            </w:r>
          </w:p>
        </w:tc>
        <w:tc>
          <w:tcPr/>
          <w:p>
            <w:pPr>
              <w:pStyle w:val="Compact"/>
            </w:pPr>
            <w:r>
              <w:t xml:space="preserve">[NAME]</w:t>
            </w:r>
          </w:p>
        </w:tc>
        <w:tc>
          <w:tcPr/>
          <w:p>
            <w:pPr>
              <w:pStyle w:val="Compact"/>
            </w:pPr>
            <w:r>
              <w:t xml:space="preserve">[SIGNATURE]</w:t>
            </w:r>
          </w:p>
        </w:tc>
        <w:tc>
          <w:tcPr/>
          <w:p>
            <w:pPr>
              <w:pStyle w:val="Compact"/>
            </w:pPr>
            <w:r>
              <w:t xml:space="preserve">[DATE]</w:t>
            </w:r>
          </w:p>
        </w:tc>
      </w:tr>
      <w:tr>
        <w:tc>
          <w:tcPr/>
          <w:p>
            <w:pPr>
              <w:pStyle w:val="Compact"/>
            </w:pPr>
            <w:r>
              <w:t xml:space="preserve">Privacy Officer</w:t>
            </w:r>
          </w:p>
        </w:tc>
        <w:tc>
          <w:tcPr/>
          <w:p>
            <w:pPr>
              <w:pStyle w:val="Compact"/>
            </w:pPr>
            <w:r>
              <w:t xml:space="preserve">[NAME]</w:t>
            </w:r>
          </w:p>
        </w:tc>
        <w:tc>
          <w:tcPr/>
          <w:p>
            <w:pPr>
              <w:pStyle w:val="Compact"/>
            </w:pPr>
            <w:r>
              <w:t xml:space="preserve">[SIGNATURE]</w:t>
            </w:r>
          </w:p>
        </w:tc>
        <w:tc>
          <w:tcPr/>
          <w:p>
            <w:pPr>
              <w:pStyle w:val="Compact"/>
            </w:pPr>
            <w:r>
              <w:t xml:space="preserve">[DATE]</w:t>
            </w:r>
          </w:p>
        </w:tc>
      </w:tr>
    </w:tbl>
    <w:p>
      <w:pPr>
        <w:pStyle w:val="BlockText"/>
      </w:pPr>
      <w:r>
        <w:t xml:space="preserve">[FILLABLE] Obtain signatures before submission in the FedRAMP authorization</w:t>
      </w:r>
      <w:r>
        <w:t xml:space="preserve"> </w:t>
      </w:r>
      <w:r>
        <w:t xml:space="preserve">package. The signed charter is the PM-30 evidence artifact. It must be</w:t>
      </w:r>
      <w:r>
        <w:t xml:space="preserve"> </w:t>
      </w:r>
      <w:r>
        <w:t xml:space="preserve">dated and version-controlled; include version number and supersession note</w:t>
      </w:r>
      <w:r>
        <w:t xml:space="preserve"> </w:t>
      </w:r>
      <w:r>
        <w:t xml:space="preserve">when updated.</w:t>
      </w:r>
    </w:p>
    <w:p>
      <w:r>
        <w:pict>
          <v:rect style="width:0;height:1.5pt" o:hralign="center" o:hrstd="t" o:hr="t"/>
        </w:pict>
      </w:r>
    </w:p>
    <w:bookmarkEnd w:id="125"/>
    <w:bookmarkEnd w:id="126"/>
    <w:bookmarkStart w:id="127" w:name="X9a8cc4156c444ad790bcefa1d9b65ee3c9d9279"/>
    <w:p>
      <w:pPr>
        <w:pStyle w:val="Heading1"/>
      </w:pPr>
      <w:r>
        <w:t xml:space="preserve">Appendix A — PM Control Traceability Matrix</w:t>
      </w:r>
    </w:p>
    <w:tbl>
      <w:tblPr>
        <w:tblStyle w:val="Table"/>
        <w:tblW w:type="pct" w:w="5000"/>
        <w:tblLayout w:type="fixed"/>
        <w:tblLook w:firstRow="1" w:lastRow="0" w:firstColumn="0" w:lastColumn="0" w:noHBand="0" w:noVBand="0" w:val="0020"/>
      </w:tblPr>
      <w:tblGrid>
        <w:gridCol w:w="1620"/>
        <w:gridCol w:w="1260"/>
        <w:gridCol w:w="1980"/>
        <w:gridCol w:w="1620"/>
        <w:gridCol w:w="1440"/>
      </w:tblGrid>
      <w:tr>
        <w:trPr>
          <w:tblHeader w:val="on"/>
        </w:trPr>
        <w:tc>
          <w:tcPr/>
          <w:p>
            <w:pPr>
              <w:pStyle w:val="Compact"/>
            </w:pPr>
            <w:r>
              <w:t xml:space="preserve">Control</w:t>
            </w:r>
          </w:p>
        </w:tc>
        <w:tc>
          <w:tcPr/>
          <w:p>
            <w:pPr>
              <w:pStyle w:val="Compact"/>
            </w:pPr>
            <w:r>
              <w:t xml:space="preserve">Title</w:t>
            </w:r>
          </w:p>
        </w:tc>
        <w:tc>
          <w:tcPr/>
          <w:p>
            <w:pPr>
              <w:pStyle w:val="Compact"/>
            </w:pPr>
            <w:r>
              <w:t xml:space="preserve">§Reference</w:t>
            </w:r>
          </w:p>
        </w:tc>
        <w:tc>
          <w:tcPr/>
          <w:p>
            <w:pPr>
              <w:pStyle w:val="Compact"/>
            </w:pPr>
            <w:r>
              <w:t xml:space="preserve">Artifact</w:t>
            </w:r>
          </w:p>
        </w:tc>
        <w:tc>
          <w:tcPr/>
          <w:p>
            <w:pPr>
              <w:pStyle w:val="Compact"/>
            </w:pPr>
            <w:r>
              <w:t xml:space="preserve">Status</w:t>
            </w:r>
          </w:p>
        </w:tc>
      </w:tr>
      <w:tr>
        <w:tc>
          <w:tcPr/>
          <w:p>
            <w:pPr>
              <w:pStyle w:val="Compact"/>
            </w:pPr>
            <w:r>
              <w:t xml:space="preserve">PM-1</w:t>
            </w:r>
          </w:p>
        </w:tc>
        <w:tc>
          <w:tcPr/>
          <w:p>
            <w:pPr>
              <w:pStyle w:val="Compact"/>
            </w:pPr>
            <w:r>
              <w:t xml:space="preserve">Information Security Program Plan</w:t>
            </w:r>
          </w:p>
        </w:tc>
        <w:tc>
          <w:tcPr/>
          <w:p>
            <w:pPr>
              <w:pStyle w:val="Compact"/>
            </w:pPr>
            <w:r>
              <w:t xml:space="preserve">§2</w:t>
            </w:r>
          </w:p>
        </w:tc>
        <w:tc>
          <w:tcPr/>
          <w:p>
            <w:pPr>
              <w:pStyle w:val="Compact"/>
            </w:pPr>
            <w:r>
              <w:t xml:space="preserve">ISPP Template</w:t>
            </w:r>
          </w:p>
        </w:tc>
        <w:tc>
          <w:tcPr/>
          <w:p>
            <w:pPr>
              <w:pStyle w:val="Compact"/>
            </w:pPr>
            <w:r>
              <w:t xml:space="preserve">✅ Template provided</w:t>
            </w:r>
          </w:p>
        </w:tc>
      </w:tr>
      <w:tr>
        <w:tc>
          <w:tcPr/>
          <w:p>
            <w:pPr>
              <w:pStyle w:val="Compact"/>
            </w:pPr>
            <w:r>
              <w:t xml:space="preserve">PM-2</w:t>
            </w:r>
          </w:p>
        </w:tc>
        <w:tc>
          <w:tcPr/>
          <w:p>
            <w:pPr>
              <w:pStyle w:val="Compact"/>
            </w:pPr>
            <w:r>
              <w:t xml:space="preserve">Info Security Program Leadership Role</w:t>
            </w:r>
          </w:p>
        </w:tc>
        <w:tc>
          <w:tcPr/>
          <w:p>
            <w:pPr>
              <w:pStyle w:val="Compact"/>
            </w:pPr>
            <w:r>
              <w:t xml:space="preserve">§3</w:t>
            </w:r>
          </w:p>
        </w:tc>
        <w:tc>
          <w:tcPr/>
          <w:p>
            <w:pPr>
              <w:pStyle w:val="Compact"/>
            </w:pPr>
            <w:r>
              <w:t xml:space="preserve">Leadership RACI</w:t>
            </w:r>
          </w:p>
        </w:tc>
        <w:tc>
          <w:tcPr/>
          <w:p>
            <w:pPr>
              <w:pStyle w:val="Compact"/>
            </w:pPr>
            <w:r>
              <w:t xml:space="preserve">✅ Template provided</w:t>
            </w:r>
          </w:p>
        </w:tc>
      </w:tr>
      <w:tr>
        <w:tc>
          <w:tcPr/>
          <w:p>
            <w:pPr>
              <w:pStyle w:val="Compact"/>
            </w:pPr>
            <w:r>
              <w:t xml:space="preserve">PM-5</w:t>
            </w:r>
          </w:p>
        </w:tc>
        <w:tc>
          <w:tcPr/>
          <w:p>
            <w:pPr>
              <w:pStyle w:val="Compact"/>
            </w:pPr>
            <w:r>
              <w:t xml:space="preserve">System Inventory</w:t>
            </w:r>
          </w:p>
        </w:tc>
        <w:tc>
          <w:tcPr/>
          <w:p>
            <w:pPr>
              <w:pStyle w:val="Compact"/>
            </w:pPr>
            <w:r>
              <w:t xml:space="preserve">§4</w:t>
            </w:r>
          </w:p>
        </w:tc>
        <w:tc>
          <w:tcPr/>
          <w:p>
            <w:pPr>
              <w:pStyle w:val="Compact"/>
            </w:pPr>
            <w:r>
              <w:t xml:space="preserve">Inventory Framework</w:t>
            </w:r>
          </w:p>
        </w:tc>
        <w:tc>
          <w:tcPr/>
          <w:p>
            <w:pPr>
              <w:pStyle w:val="Compact"/>
            </w:pPr>
            <w:r>
              <w:t xml:space="preserve">✅ Template + automation</w:t>
            </w:r>
          </w:p>
        </w:tc>
      </w:tr>
      <w:tr>
        <w:tc>
          <w:tcPr/>
          <w:p>
            <w:pPr>
              <w:pStyle w:val="Compact"/>
            </w:pPr>
            <w:r>
              <w:t xml:space="preserve">PM-7</w:t>
            </w:r>
          </w:p>
        </w:tc>
        <w:tc>
          <w:tcPr/>
          <w:p>
            <w:pPr>
              <w:pStyle w:val="Compact"/>
            </w:pPr>
            <w:r>
              <w:t xml:space="preserve">Enterprise Architecture</w:t>
            </w:r>
          </w:p>
        </w:tc>
        <w:tc>
          <w:tcPr/>
          <w:p>
            <w:pPr>
              <w:pStyle w:val="Compact"/>
            </w:pPr>
            <w:r>
              <w:t xml:space="preserve">§2.2</w:t>
            </w:r>
          </w:p>
        </w:tc>
        <w:tc>
          <w:tcPr/>
          <w:p>
            <w:pPr>
              <w:pStyle w:val="Compact"/>
            </w:pPr>
            <w:r>
              <w:t xml:space="preserve">EA Integration</w:t>
            </w:r>
          </w:p>
        </w:tc>
        <w:tc>
          <w:tcPr/>
          <w:p>
            <w:pPr>
              <w:pStyle w:val="Compact"/>
            </w:pPr>
            <w:r>
              <w:t xml:space="preserve">✅ Architecture gates</w:t>
            </w:r>
          </w:p>
        </w:tc>
      </w:tr>
      <w:tr>
        <w:tc>
          <w:tcPr/>
          <w:p>
            <w:pPr>
              <w:pStyle w:val="Compact"/>
            </w:pPr>
            <w:r>
              <w:t xml:space="preserve">PM-9</w:t>
            </w:r>
          </w:p>
        </w:tc>
        <w:tc>
          <w:tcPr/>
          <w:p>
            <w:pPr>
              <w:pStyle w:val="Compact"/>
            </w:pPr>
            <w:r>
              <w:t xml:space="preserve">Risk Management Strategy</w:t>
            </w:r>
          </w:p>
        </w:tc>
        <w:tc>
          <w:tcPr/>
          <w:p>
            <w:pPr>
              <w:pStyle w:val="Compact"/>
            </w:pPr>
            <w:r>
              <w:t xml:space="preserve">§5</w:t>
            </w:r>
          </w:p>
        </w:tc>
        <w:tc>
          <w:tcPr/>
          <w:p>
            <w:pPr>
              <w:pStyle w:val="Compact"/>
            </w:pPr>
            <w:r>
              <w:t xml:space="preserve">Risk Register</w:t>
            </w:r>
          </w:p>
        </w:tc>
        <w:tc>
          <w:tcPr/>
          <w:p>
            <w:pPr>
              <w:pStyle w:val="Compact"/>
            </w:pPr>
            <w:r>
              <w:t xml:space="preserve">✅ Template provided</w:t>
            </w:r>
          </w:p>
        </w:tc>
      </w:tr>
      <w:tr>
        <w:tc>
          <w:tcPr/>
          <w:p>
            <w:pPr>
              <w:pStyle w:val="Compact"/>
            </w:pPr>
            <w:r>
              <w:t xml:space="preserve">PM-11</w:t>
            </w:r>
          </w:p>
        </w:tc>
        <w:tc>
          <w:tcPr/>
          <w:p>
            <w:pPr>
              <w:pStyle w:val="Compact"/>
            </w:pPr>
            <w:r>
              <w:t xml:space="preserve">Mission/Business Process Definition</w:t>
            </w:r>
          </w:p>
        </w:tc>
        <w:tc>
          <w:tcPr/>
          <w:p>
            <w:pPr>
              <w:pStyle w:val="Compact"/>
            </w:pPr>
            <w:r>
              <w:t xml:space="preserve">§2.3</w:t>
            </w:r>
          </w:p>
        </w:tc>
        <w:tc>
          <w:tcPr/>
          <w:p>
            <w:pPr>
              <w:pStyle w:val="Compact"/>
            </w:pPr>
            <w:r>
              <w:t xml:space="preserve">Mission Map</w:t>
            </w:r>
          </w:p>
        </w:tc>
        <w:tc>
          <w:tcPr/>
          <w:p>
            <w:pPr>
              <w:pStyle w:val="Compact"/>
            </w:pPr>
            <w:r>
              <w:t xml:space="preserve">✅ Template provided</w:t>
            </w:r>
          </w:p>
        </w:tc>
      </w:tr>
      <w:tr>
        <w:tc>
          <w:tcPr/>
          <w:p>
            <w:pPr>
              <w:pStyle w:val="Compact"/>
            </w:pPr>
            <w:r>
              <w:t xml:space="preserve">PM-14</w:t>
            </w:r>
          </w:p>
        </w:tc>
        <w:tc>
          <w:tcPr/>
          <w:p>
            <w:pPr>
              <w:pStyle w:val="Compact"/>
            </w:pPr>
            <w:r>
              <w:t xml:space="preserve">Testing, Training, and Monitoring</w:t>
            </w:r>
          </w:p>
        </w:tc>
        <w:tc>
          <w:tcPr/>
          <w:p>
            <w:pPr>
              <w:pStyle w:val="Compact"/>
            </w:pPr>
            <w:r>
              <w:t xml:space="preserve">§6</w:t>
            </w:r>
          </w:p>
        </w:tc>
        <w:tc>
          <w:tcPr/>
          <w:p>
            <w:pPr>
              <w:pStyle w:val="Compact"/>
            </w:pPr>
            <w:r>
              <w:t xml:space="preserve">T&amp;T&amp;M Plan</w:t>
            </w:r>
          </w:p>
        </w:tc>
        <w:tc>
          <w:tcPr/>
          <w:p>
            <w:pPr>
              <w:pStyle w:val="Compact"/>
            </w:pPr>
            <w:r>
              <w:t xml:space="preserve">✅ Template provided</w:t>
            </w:r>
          </w:p>
        </w:tc>
      </w:tr>
      <w:tr>
        <w:tc>
          <w:tcPr/>
          <w:p>
            <w:pPr>
              <w:pStyle w:val="Compact"/>
            </w:pPr>
            <w:r>
              <w:t xml:space="preserve">PM-15</w:t>
            </w:r>
          </w:p>
        </w:tc>
        <w:tc>
          <w:tcPr/>
          <w:p>
            <w:pPr>
              <w:pStyle w:val="Compact"/>
            </w:pPr>
            <w:r>
              <w:t xml:space="preserve">Security and Privacy Groups and Associations</w:t>
            </w:r>
          </w:p>
        </w:tc>
        <w:tc>
          <w:tcPr/>
          <w:p>
            <w:pPr>
              <w:pStyle w:val="Compact"/>
            </w:pPr>
            <w:r>
              <w:t xml:space="preserve">§7</w:t>
            </w:r>
          </w:p>
        </w:tc>
        <w:tc>
          <w:tcPr/>
          <w:p>
            <w:pPr>
              <w:pStyle w:val="Compact"/>
            </w:pPr>
            <w:r>
              <w:t xml:space="preserve">Contact Registry</w:t>
            </w:r>
          </w:p>
        </w:tc>
        <w:tc>
          <w:tcPr/>
          <w:p>
            <w:pPr>
              <w:pStyle w:val="Compact"/>
            </w:pPr>
            <w:r>
              <w:t xml:space="preserve">✅ Template provided</w:t>
            </w:r>
          </w:p>
        </w:tc>
      </w:tr>
      <w:tr>
        <w:tc>
          <w:tcPr/>
          <w:p>
            <w:pPr>
              <w:pStyle w:val="Compact"/>
            </w:pPr>
            <w:r>
              <w:t xml:space="preserve">PM-30</w:t>
            </w:r>
          </w:p>
        </w:tc>
        <w:tc>
          <w:tcPr/>
          <w:p>
            <w:pPr>
              <w:pStyle w:val="Compact"/>
            </w:pPr>
            <w:r>
              <w:t xml:space="preserve">Supply Chain Risk Management Strategy</w:t>
            </w:r>
          </w:p>
        </w:tc>
        <w:tc>
          <w:tcPr/>
          <w:p>
            <w:pPr>
              <w:pStyle w:val="Compact"/>
            </w:pPr>
            <w:r>
              <w:t xml:space="preserve">§8</w:t>
            </w:r>
          </w:p>
        </w:tc>
        <w:tc>
          <w:tcPr/>
          <w:p>
            <w:pPr>
              <w:pStyle w:val="Compact"/>
            </w:pPr>
            <w:r>
              <w:t xml:space="preserve">SCRM Charter</w:t>
            </w:r>
          </w:p>
        </w:tc>
        <w:tc>
          <w:tcPr/>
          <w:p>
            <w:pPr>
              <w:pStyle w:val="Compact"/>
            </w:pPr>
            <w:r>
              <w:t xml:space="preserve">✅ Template provided</w:t>
            </w:r>
          </w:p>
        </w:tc>
      </w:tr>
    </w:tbl>
    <w:p>
      <w:r>
        <w:pict>
          <v:rect style="width:0;height:1.5pt" o:hralign="center" o:hrstd="t" o:hr="t"/>
        </w:pict>
      </w:r>
    </w:p>
    <w:bookmarkEnd w:id="127"/>
    <w:bookmarkStart w:id="130" w:name="Xd3e033429ffb290f02b12ffa9eed69aeb0b19ff"/>
    <w:p>
      <w:pPr>
        <w:pStyle w:val="Heading1"/>
      </w:pPr>
      <w:r>
        <w:t xml:space="preserve">Appendix B — Integration with Compliance Technical Series</w:t>
      </w:r>
    </w:p>
    <w:tbl>
      <w:tblPr>
        <w:tblStyle w:val="Table"/>
        <w:tblW w:type="pct" w:w="5000"/>
        <w:tblLayout w:type="fixed"/>
        <w:tblLook w:firstRow="1" w:lastRow="0" w:firstColumn="0" w:lastColumn="0" w:noHBand="0" w:noVBand="0" w:val="0020"/>
      </w:tblPr>
      <w:tblGrid>
        <w:gridCol w:w="2329"/>
        <w:gridCol w:w="5590"/>
      </w:tblGrid>
      <w:tr>
        <w:trPr>
          <w:tblHeader w:val="on"/>
        </w:trPr>
        <w:tc>
          <w:tcPr/>
          <w:p>
            <w:pPr>
              <w:pStyle w:val="Compact"/>
            </w:pPr>
            <w:r>
              <w:t xml:space="preserve">Compliance Book</w:t>
            </w:r>
          </w:p>
        </w:tc>
        <w:tc>
          <w:tcPr/>
          <w:p>
            <w:pPr>
              <w:pStyle w:val="Compact"/>
            </w:pPr>
            <w:r>
              <w:t xml:space="preserve">PM Control Dependencies</w:t>
            </w:r>
          </w:p>
        </w:tc>
      </w:tr>
      <w:tr>
        <w:tc>
          <w:tcPr/>
          <w:p>
            <w:pPr>
              <w:pStyle w:val="Compact"/>
            </w:pPr>
            <w:r>
              <w:t xml:space="preserve">Vol I Book 05 (Entra ID / ZTNA)</w:t>
            </w:r>
          </w:p>
        </w:tc>
        <w:tc>
          <w:tcPr/>
          <w:p>
            <w:pPr>
              <w:pStyle w:val="Compact"/>
            </w:pPr>
            <w:r>
              <w:t xml:space="preserve">PM-5 (system inventory — identity plane)</w:t>
            </w:r>
          </w:p>
        </w:tc>
      </w:tr>
      <w:tr>
        <w:tc>
          <w:tcPr/>
          <w:p>
            <w:pPr>
              <w:pStyle w:val="Compact"/>
            </w:pPr>
            <w:r>
              <w:t xml:space="preserve">Vol III Book 02 (Defender VM)</w:t>
            </w:r>
          </w:p>
        </w:tc>
        <w:tc>
          <w:tcPr/>
          <w:p>
            <w:pPr>
              <w:pStyle w:val="Compact"/>
            </w:pPr>
            <w:r>
              <w:t xml:space="preserve">PM-14 (testing — vulnerability scan cadence)</w:t>
            </w:r>
          </w:p>
        </w:tc>
      </w:tr>
      <w:tr>
        <w:tc>
          <w:tcPr/>
          <w:p>
            <w:pPr>
              <w:pStyle w:val="Compact"/>
            </w:pPr>
            <w:r>
              <w:t xml:space="preserve">Vol III Book 05 (Purview / Key Vault)</w:t>
            </w:r>
          </w:p>
        </w:tc>
        <w:tc>
          <w:tcPr/>
          <w:p>
            <w:pPr>
              <w:pStyle w:val="Compact"/>
            </w:pPr>
            <w:r>
              <w:t xml:space="preserve">PM-11 (mission mapping — PII-bearing processes)</w:t>
            </w:r>
          </w:p>
        </w:tc>
      </w:tr>
      <w:tr>
        <w:tc>
          <w:tcPr/>
          <w:p>
            <w:pPr>
              <w:pStyle w:val="Compact"/>
            </w:pPr>
            <w:r>
              <w:t xml:space="preserve">Vol III Book 06 (Sentinel)</w:t>
            </w:r>
          </w:p>
        </w:tc>
        <w:tc>
          <w:tcPr/>
          <w:p>
            <w:pPr>
              <w:pStyle w:val="Compact"/>
            </w:pPr>
            <w:r>
              <w:t xml:space="preserve">PM-14 (monitoring program — Sentinel workbooks)</w:t>
            </w:r>
          </w:p>
        </w:tc>
      </w:tr>
      <w:tr>
        <w:tc>
          <w:tcPr/>
          <w:p>
            <w:pPr>
              <w:pStyle w:val="Compact"/>
            </w:pPr>
            <w:r>
              <w:t xml:space="preserve">Vol IV Book 01 (Contingency)</w:t>
            </w:r>
          </w:p>
        </w:tc>
        <w:tc>
          <w:tcPr/>
          <w:p>
            <w:pPr>
              <w:pStyle w:val="Compact"/>
            </w:pPr>
            <w:r>
              <w:t xml:space="preserve">PM-9 (risk register — RTO/RPO inputs)</w:t>
            </w:r>
          </w:p>
        </w:tc>
      </w:tr>
      <w:tr>
        <w:tc>
          <w:tcPr/>
          <w:p>
            <w:pPr>
              <w:pStyle w:val="Compact"/>
            </w:pPr>
            <w:r>
              <w:t xml:space="preserve">Vol IV Book 02 (SBOM/VDR/VEX)</w:t>
            </w:r>
          </w:p>
        </w:tc>
        <w:tc>
          <w:tcPr/>
          <w:p>
            <w:pPr>
              <w:pStyle w:val="Compact"/>
            </w:pPr>
            <w:r>
              <w:t xml:space="preserve">PM-30 (SCRM charter — technical backbone)</w:t>
            </w:r>
          </w:p>
        </w:tc>
      </w:tr>
      <w:tr>
        <w:tc>
          <w:tcPr/>
          <w:p>
            <w:pPr>
              <w:pStyle w:val="Compact"/>
            </w:pPr>
            <w:r>
              <w:rPr>
                <w:b/>
                <w:bCs/>
              </w:rPr>
              <w:t xml:space="preserve">Vol IV Book 03 (this document)</w:t>
            </w:r>
          </w:p>
        </w:tc>
        <w:tc>
          <w:tcPr/>
          <w:p>
            <w:pPr>
              <w:pStyle w:val="Compact"/>
            </w:pPr>
            <w:r>
              <w:t xml:space="preserve">PM-1, PM-2, PM-5, PM-7, PM-9, PM-11, PM-14, PM-15, PM-30</w:t>
            </w:r>
          </w:p>
        </w:tc>
      </w:tr>
    </w:tbl>
    <w:p>
      <w:pPr>
        <w:pStyle w:val="BodyText"/>
      </w:pPr>
      <w:r>
        <w:t xml:space="preserve">The PM governance artifacts in Vol IV Book 03 provide the organizational layer that</w:t>
      </w:r>
      <w:r>
        <w:t xml:space="preserve"> </w:t>
      </w:r>
      <w:r>
        <w:t xml:space="preserve">contextualizes the technical evidence from the Volume I–IV technical books that</w:t>
      </w:r>
      <w:r>
        <w:t xml:space="preserve"> </w:t>
      </w:r>
      <w:r>
        <w:t xml:space="preserve">precede it. Together they form a</w:t>
      </w:r>
      <w:r>
        <w:t xml:space="preserve"> </w:t>
      </w:r>
      <w:r>
        <w:t xml:space="preserve">complete agency RMF authorization package (ConMon evidence modeled on the</w:t>
      </w:r>
      <w:r>
        <w:t xml:space="preserve"> </w:t>
      </w:r>
      <w:r>
        <w:t xml:space="preserve">FedRAMP 20x KSI schema) for the PM and SR control families.</w:t>
      </w:r>
    </w:p>
    <w:bookmarkStart w:id="128" w:name="draft-proposal-subject-to-review-4"/>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2026-07-08 16:07 ET</w:t>
      </w:r>
    </w:p>
    <w:bookmarkEnd w:id="128"/>
    <w:bookmarkStart w:id="129" w:name="what-this-document-addresses-3"/>
    <w:p>
      <w:pPr>
        <w:pStyle w:val="Heading2"/>
      </w:pPr>
      <w:r>
        <w:t xml:space="preserve">What This Document Addresses</w:t>
      </w:r>
    </w:p>
    <w:p>
      <w:pPr>
        <w:pStyle w:val="FirstParagraph"/>
      </w:pPr>
      <w:r>
        <w:t xml:space="preserve">Federal systems that process Personally Identifiable Information (PII) carry</w:t>
      </w:r>
      <w:r>
        <w:t xml:space="preserve"> </w:t>
      </w:r>
      <w:r>
        <w:t xml:space="preserve">obligations beyond the security control baseline. The NIST SP 800-53 Rev 5</w:t>
      </w:r>
      <w:r>
        <w:t xml:space="preserve"> </w:t>
      </w:r>
      <w:r>
        <w:t xml:space="preserve">Personally Identifiable Information Processing and Transparency (PT) control</w:t>
      </w:r>
      <w:r>
        <w:t xml:space="preserve"> </w:t>
      </w:r>
      <w:r>
        <w:t xml:space="preserve">family codifies those obligations as auditable, ATO-ready</w:t>
      </w:r>
      <w:r>
        <w:t xml:space="preserve"> </w:t>
      </w:r>
      <w:r>
        <w:t xml:space="preserve">requirements: an agency must be able to demonstrate</w:t>
      </w:r>
      <w:r>
        <w:t xml:space="preserve"> </w:t>
      </w:r>
      <w:r>
        <w:rPr>
          <w:i/>
          <w:iCs/>
        </w:rPr>
        <w:t xml:space="preserve">why</w:t>
      </w:r>
      <w:r>
        <w:t xml:space="preserve"> </w:t>
      </w:r>
      <w:r>
        <w:t xml:space="preserve">it collects PII,</w:t>
      </w:r>
      <w:r>
        <w:t xml:space="preserve"> </w:t>
      </w:r>
      <w:r>
        <w:rPr>
          <w:i/>
          <w:iCs/>
        </w:rPr>
        <w:t xml:space="preserve">what</w:t>
      </w:r>
      <w:r>
        <w:t xml:space="preserve"> </w:t>
      </w:r>
      <w:r>
        <w:t xml:space="preserve">authority permits collection,</w:t>
      </w:r>
      <w:r>
        <w:t xml:space="preserve"> </w:t>
      </w:r>
      <w:r>
        <w:rPr>
          <w:i/>
          <w:iCs/>
        </w:rPr>
        <w:t xml:space="preserve">how</w:t>
      </w:r>
      <w:r>
        <w:t xml:space="preserve"> </w:t>
      </w:r>
      <w:r>
        <w:t xml:space="preserve">individuals are notified, and</w:t>
      </w:r>
      <w:r>
        <w:t xml:space="preserve"> </w:t>
      </w:r>
      <w:r>
        <w:rPr>
          <w:i/>
          <w:iCs/>
        </w:rPr>
        <w:t xml:space="preserve">where</w:t>
      </w:r>
      <w:r>
        <w:t xml:space="preserve"> </w:t>
      </w:r>
      <w:r>
        <w:t xml:space="preserve">special categories receive heightened protection. Without this documentation,</w:t>
      </w:r>
      <w:r>
        <w:t xml:space="preserve"> </w:t>
      </w:r>
      <w:r>
        <w:t xml:space="preserve">a FedRAMP Moderate system that touches citizen data cannot complete a privacy-</w:t>
      </w:r>
      <w:r>
        <w:t xml:space="preserve"> </w:t>
      </w:r>
      <w:r>
        <w:t xml:space="preserve">sensitive ATO boundary without a significant POA&amp;M gap.</w:t>
      </w:r>
    </w:p>
    <w:p>
      <w:pPr>
        <w:pStyle w:val="BodyText"/>
      </w:pPr>
      <w:r>
        <w:t xml:space="preserve">This document provides:</w:t>
      </w:r>
    </w:p>
    <w:p>
      <w:pPr>
        <w:pStyle w:val="Compact"/>
        <w:numPr>
          <w:ilvl w:val="0"/>
          <w:numId w:val="1026"/>
        </w:numPr>
      </w:pPr>
      <w:r>
        <w:rPr>
          <w:b/>
          <w:bCs/>
        </w:rPr>
        <w:t xml:space="preserve">Privacy Program Plan Template (PT-1)</w:t>
      </w:r>
      <w:r>
        <w:t xml:space="preserve"> </w:t>
      </w:r>
      <w:r>
        <w:t xml:space="preserve">— organizational privacy governance</w:t>
      </w:r>
      <w:r>
        <w:t xml:space="preserve"> </w:t>
      </w:r>
      <w:r>
        <w:t xml:space="preserve">structure with SAOP accountability, authority citations, and program cadence</w:t>
      </w:r>
    </w:p>
    <w:p>
      <w:pPr>
        <w:pStyle w:val="Compact"/>
        <w:numPr>
          <w:ilvl w:val="0"/>
          <w:numId w:val="1026"/>
        </w:numPr>
      </w:pPr>
      <w:r>
        <w:rPr>
          <w:b/>
          <w:bCs/>
        </w:rPr>
        <w:t xml:space="preserve">Authority to Process Template (PT-2)</w:t>
      </w:r>
      <w:r>
        <w:t xml:space="preserve"> </w:t>
      </w:r>
      <w:r>
        <w:t xml:space="preserve">— legal basis matrix linking each</w:t>
      </w:r>
      <w:r>
        <w:t xml:space="preserve"> </w:t>
      </w:r>
      <w:r>
        <w:t xml:space="preserve">PII category to its authorizing statute, SORN reference, and retention period</w:t>
      </w:r>
    </w:p>
    <w:p>
      <w:pPr>
        <w:pStyle w:val="Compact"/>
        <w:numPr>
          <w:ilvl w:val="0"/>
          <w:numId w:val="1026"/>
        </w:numPr>
      </w:pPr>
      <w:r>
        <w:rPr>
          <w:b/>
          <w:bCs/>
        </w:rPr>
        <w:t xml:space="preserve">Purpose Specification Template (PT-3)</w:t>
      </w:r>
      <w:r>
        <w:t xml:space="preserve"> </w:t>
      </w:r>
      <w:r>
        <w:t xml:space="preserve">— purpose-limitation framework with</w:t>
      </w:r>
      <w:r>
        <w:t xml:space="preserve"> </w:t>
      </w:r>
      <w:r>
        <w:t xml:space="preserve">Purview Data Map attribute mapping for automated enforcement</w:t>
      </w:r>
    </w:p>
    <w:p>
      <w:pPr>
        <w:pStyle w:val="Compact"/>
        <w:numPr>
          <w:ilvl w:val="0"/>
          <w:numId w:val="1026"/>
        </w:numPr>
      </w:pPr>
      <w:r>
        <w:rPr>
          <w:b/>
          <w:bCs/>
        </w:rPr>
        <w:t xml:space="preserve">Consent Requirements Template (PT-4)</w:t>
      </w:r>
      <w:r>
        <w:t xml:space="preserve"> </w:t>
      </w:r>
      <w:r>
        <w:t xml:space="preserve">— consent mechanism matrix covering</w:t>
      </w:r>
      <w:r>
        <w:t xml:space="preserve"> </w:t>
      </w:r>
      <w:r>
        <w:t xml:space="preserve">web forms, automated collection, and inter-agency data sharing</w:t>
      </w:r>
    </w:p>
    <w:p>
      <w:pPr>
        <w:pStyle w:val="Compact"/>
        <w:numPr>
          <w:ilvl w:val="0"/>
          <w:numId w:val="1026"/>
        </w:numPr>
      </w:pPr>
      <w:r>
        <w:rPr>
          <w:b/>
          <w:bCs/>
        </w:rPr>
        <w:t xml:space="preserve">Privacy Notice Template (PT-5)</w:t>
      </w:r>
      <w:r>
        <w:t xml:space="preserve"> </w:t>
      </w:r>
      <w:r>
        <w:t xml:space="preserve">— OMB M-03-22 compliant model notice with</w:t>
      </w:r>
      <w:r>
        <w:t xml:space="preserve"> </w:t>
      </w:r>
      <w:r>
        <w:t xml:space="preserve">machine-accessible URL requirement for FedRAMP 20x SSPs</w:t>
      </w:r>
    </w:p>
    <w:p>
      <w:pPr>
        <w:pStyle w:val="Compact"/>
        <w:numPr>
          <w:ilvl w:val="0"/>
          <w:numId w:val="1026"/>
        </w:numPr>
      </w:pPr>
      <w:r>
        <w:rPr>
          <w:b/>
          <w:bCs/>
        </w:rPr>
        <w:t xml:space="preserve">Special Categories Framework (PT-7)</w:t>
      </w:r>
      <w:r>
        <w:t xml:space="preserve"> </w:t>
      </w:r>
      <w:r>
        <w:t xml:space="preserve">— heightened protection requirements</w:t>
      </w:r>
      <w:r>
        <w:t xml:space="preserve"> </w:t>
      </w:r>
      <w:r>
        <w:t xml:space="preserve">for SSN, PHI, biometrics, and other sensitive PII categories</w:t>
      </w:r>
    </w:p>
    <w:p>
      <w:pPr>
        <w:pStyle w:val="Compact"/>
        <w:numPr>
          <w:ilvl w:val="0"/>
          <w:numId w:val="1026"/>
        </w:numPr>
      </w:pPr>
      <w:r>
        <w:rPr>
          <w:b/>
          <w:bCs/>
        </w:rPr>
        <w:t xml:space="preserve">PII Data Flow Map Template</w:t>
      </w:r>
      <w:r>
        <w:t xml:space="preserve"> </w:t>
      </w:r>
      <w:r>
        <w:t xml:space="preserve">— end-to-end flow documentation for citizen</w:t>
      </w:r>
      <w:r>
        <w:t xml:space="preserve"> </w:t>
      </w:r>
      <w:r>
        <w:t xml:space="preserve">portal, contact center, HR, and cross-agency sharing scenarios</w:t>
      </w:r>
    </w:p>
    <w:p>
      <w:pPr>
        <w:pStyle w:val="Compact"/>
        <w:numPr>
          <w:ilvl w:val="0"/>
          <w:numId w:val="1026"/>
        </w:numPr>
      </w:pPr>
      <w:r>
        <w:rPr>
          <w:b/>
          <w:bCs/>
        </w:rPr>
        <w:t xml:space="preserve">FedRAMP 20x KSI Alignment</w:t>
      </w:r>
      <w:r>
        <w:t xml:space="preserve"> </w:t>
      </w:r>
      <w:r>
        <w:t xml:space="preserve">— compliance milestones and control closure</w:t>
      </w:r>
      <w:r>
        <w:t xml:space="preserve"> </w:t>
      </w:r>
      <w:r>
        <w:t xml:space="preserve">traceability across the PT family</w:t>
      </w:r>
    </w:p>
    <w:p>
      <w:pPr>
        <w:pStyle w:val="FirstParagraph"/>
      </w:pPr>
      <w:r>
        <w:t xml:space="preserve">Together these artifacts close six NIST SP 800-53 Rev 5 PT family controls</w:t>
      </w:r>
      <w:r>
        <w:t xml:space="preserve"> </w:t>
      </w:r>
      <w:r>
        <w:t xml:space="preserve">(PT-1, PT-2, PT-3, PT-4, PT-5, PT-7), satisfy Privacy Act 1974 and E-Gov Act</w:t>
      </w:r>
      <w:r>
        <w:t xml:space="preserve"> </w:t>
      </w:r>
      <w:r>
        <w:t xml:space="preserve">2002 documentation requirements, and provide the Privacy Impact Assessment (PIA)</w:t>
      </w:r>
      <w:r>
        <w:t xml:space="preserve"> </w:t>
      </w:r>
      <w:r>
        <w:t xml:space="preserve">scaffolding required at system boundary establishment for all Agency GCC Moderate</w:t>
      </w:r>
      <w:r>
        <w:t xml:space="preserve"> </w:t>
      </w:r>
      <w:r>
        <w:t xml:space="preserve">systems that process PII.</w:t>
      </w:r>
    </w:p>
    <w:p>
      <w:r>
        <w:pict>
          <v:rect style="width:0;height:1.5pt" o:hralign="center" o:hrstd="t" o:hr="t"/>
        </w:pict>
      </w:r>
    </w:p>
    <w:bookmarkEnd w:id="129"/>
    <w:bookmarkEnd w:id="130"/>
    <w:bookmarkStart w:id="133" w:name="purpose-and-scope-1"/>
    <w:p>
      <w:pPr>
        <w:pStyle w:val="Heading1"/>
      </w:pPr>
      <w:r>
        <w:t xml:space="preserve">Purpose and Scope</w:t>
      </w:r>
    </w:p>
    <w:bookmarkStart w:id="131" w:name="document-purpose"/>
    <w:p>
      <w:pPr>
        <w:pStyle w:val="Heading2"/>
      </w:pPr>
      <w:r>
        <w:t xml:space="preserve">Document Purpose</w:t>
      </w:r>
    </w:p>
    <w:p>
      <w:pPr>
        <w:pStyle w:val="FirstParagraph"/>
      </w:pPr>
      <w:r>
        <w:t xml:space="preserve">This document closes the Personally Identifiable Information Processing and</w:t>
      </w:r>
      <w:r>
        <w:t xml:space="preserve"> </w:t>
      </w:r>
      <w:r>
        <w:t xml:space="preserve">Transparency (PT) control family gap for</w:t>
      </w:r>
      <w:r>
        <w:t xml:space="preserve"> </w:t>
      </w:r>
      <w:r>
        <w:t xml:space="preserve">FedRAMP 20x GCC Moderate systems operated by or on behalf of</w:t>
      </w:r>
      <w:r>
        <w:t xml:space="preserve"> </w:t>
      </w:r>
      <w:r>
        <w:t xml:space="preserve">Agency. The PT control family is the documentation layer that</w:t>
      </w:r>
      <w:r>
        <w:t xml:space="preserve"> </w:t>
      </w:r>
      <w:r>
        <w:t xml:space="preserve">converts statutory privacy obligations into auditable program artifacts.</w:t>
      </w:r>
    </w:p>
    <w:p>
      <w:pPr>
        <w:pStyle w:val="BodyText"/>
      </w:pPr>
      <w:r>
        <w:rPr>
          <w:b/>
          <w:bCs/>
        </w:rPr>
        <w:t xml:space="preserve">Relationship to Prior Parts in This Series:</w:t>
      </w:r>
    </w:p>
    <w:p>
      <w:pPr>
        <w:pStyle w:val="Compact"/>
        <w:numPr>
          <w:ilvl w:val="0"/>
          <w:numId w:val="1027"/>
        </w:numPr>
      </w:pPr>
      <w:r>
        <w:rPr>
          <w:b/>
          <w:bCs/>
        </w:rPr>
        <w:t xml:space="preserve">Vol III Book 05 (Purview + Key Vault)</w:t>
      </w:r>
      <w:r>
        <w:t xml:space="preserve"> </w:t>
      </w:r>
      <w:r>
        <w:t xml:space="preserve">— established the technical data</w:t>
      </w:r>
      <w:r>
        <w:t xml:space="preserve"> </w:t>
      </w:r>
      <w:r>
        <w:t xml:space="preserve">classification, sensitivity labeling, and encryption controls that enforce</w:t>
      </w:r>
      <w:r>
        <w:t xml:space="preserve"> </w:t>
      </w:r>
      <w:r>
        <w:t xml:space="preserve">the policies defined in this document. PT-3 purpose fields are mapped to</w:t>
      </w:r>
      <w:r>
        <w:t xml:space="preserve"> </w:t>
      </w:r>
      <w:r>
        <w:t xml:space="preserve">Purview Data Map custom attributes; PT-7 special categories are enforced</w:t>
      </w:r>
      <w:r>
        <w:t xml:space="preserve"> </w:t>
      </w:r>
      <w:r>
        <w:t xml:space="preserve">through auto-labeling rules defined in Vol III Book 05.</w:t>
      </w:r>
    </w:p>
    <w:p>
      <w:pPr>
        <w:pStyle w:val="Compact"/>
        <w:numPr>
          <w:ilvl w:val="0"/>
          <w:numId w:val="1027"/>
        </w:numPr>
      </w:pPr>
      <w:r>
        <w:rPr>
          <w:b/>
          <w:bCs/>
        </w:rPr>
        <w:t xml:space="preserve">Vol IV Book 03 (Program Management Governance)</w:t>
      </w:r>
      <w:r>
        <w:t xml:space="preserve"> </w:t>
      </w:r>
      <w:r>
        <w:t xml:space="preserve">— established the organizational</w:t>
      </w:r>
      <w:r>
        <w:t xml:space="preserve"> </w:t>
      </w:r>
      <w:r>
        <w:t xml:space="preserve">governance structure within which this Privacy Program Plan operates. PT-1</w:t>
      </w:r>
      <w:r>
        <w:t xml:space="preserve"> </w:t>
      </w:r>
      <w:r>
        <w:t xml:space="preserve">is the privacy complement to the PM-1 Information Security Program Plan (ISPP);</w:t>
      </w:r>
      <w:r>
        <w:t xml:space="preserve"> </w:t>
      </w:r>
      <w:r>
        <w:t xml:space="preserve">they share the same SAOP/CISO leadership cadence and the same AO approval chain.</w:t>
      </w:r>
      <w:r>
        <w:t xml:space="preserve"> </w:t>
      </w:r>
      <w:r>
        <w:t xml:space="preserve">The RACI defined in Vol IV Book 03 §3 assigns Privacy Officer accountability across</w:t>
      </w:r>
      <w:r>
        <w:t xml:space="preserve"> </w:t>
      </w:r>
      <w:r>
        <w:t xml:space="preserve">all PT controls.</w:t>
      </w:r>
    </w:p>
    <w:bookmarkEnd w:id="131"/>
    <w:bookmarkStart w:id="132" w:name="scope"/>
    <w:p>
      <w:pPr>
        <w:pStyle w:val="Heading2"/>
      </w:pPr>
      <w:r>
        <w:t xml:space="preserve">Scope</w:t>
      </w:r>
    </w:p>
    <w:p>
      <w:pPr>
        <w:pStyle w:val="FirstParagraph"/>
      </w:pPr>
      <w:r>
        <w:t xml:space="preserve">This document applies to any Agency GCC Moderate system that processes PII, including</w:t>
      </w:r>
      <w:r>
        <w:t xml:space="preserve"> </w:t>
      </w:r>
      <w:r>
        <w:t xml:space="preserve">but not limited to:</w:t>
      </w:r>
    </w:p>
    <w:p>
      <w:pPr>
        <w:pStyle w:val="Compact"/>
        <w:numPr>
          <w:ilvl w:val="0"/>
          <w:numId w:val="1028"/>
        </w:numPr>
      </w:pPr>
      <w:r>
        <w:rPr>
          <w:b/>
          <w:bCs/>
        </w:rPr>
        <w:t xml:space="preserve">Citizen portals</w:t>
      </w:r>
      <w:r>
        <w:t xml:space="preserve"> </w:t>
      </w:r>
      <w:r>
        <w:t xml:space="preserve">— my Social Security, online benefit applications, appeals</w:t>
      </w:r>
      <w:r>
        <w:t xml:space="preserve"> </w:t>
      </w:r>
      <w:r>
        <w:t xml:space="preserve">submissions</w:t>
      </w:r>
    </w:p>
    <w:p>
      <w:pPr>
        <w:pStyle w:val="Compact"/>
        <w:numPr>
          <w:ilvl w:val="0"/>
          <w:numId w:val="1028"/>
        </w:numPr>
      </w:pPr>
      <w:r>
        <w:rPr>
          <w:b/>
          <w:bCs/>
        </w:rPr>
        <w:t xml:space="preserve">Contact center platforms</w:t>
      </w:r>
      <w:r>
        <w:t xml:space="preserve"> </w:t>
      </w:r>
      <w:r>
        <w:t xml:space="preserve">— Amazon Connect deployments handling citizen</w:t>
      </w:r>
      <w:r>
        <w:t xml:space="preserve"> </w:t>
      </w:r>
      <w:r>
        <w:t xml:space="preserve">calls and case management (CRM integration)</w:t>
      </w:r>
    </w:p>
    <w:p>
      <w:pPr>
        <w:pStyle w:val="Compact"/>
        <w:numPr>
          <w:ilvl w:val="0"/>
          <w:numId w:val="1028"/>
        </w:numPr>
      </w:pPr>
      <w:r>
        <w:rPr>
          <w:b/>
          <w:bCs/>
        </w:rPr>
        <w:t xml:space="preserve">HR and workforce systems</w:t>
      </w:r>
      <w:r>
        <w:t xml:space="preserve"> </w:t>
      </w:r>
      <w:r>
        <w:t xml:space="preserve">— employee records, payroll, benefits</w:t>
      </w:r>
      <w:r>
        <w:t xml:space="preserve"> </w:t>
      </w:r>
      <w:r>
        <w:t xml:space="preserve">administration within the Agency Azure GCC Moderate boundary</w:t>
      </w:r>
    </w:p>
    <w:p>
      <w:pPr>
        <w:pStyle w:val="Compact"/>
        <w:numPr>
          <w:ilvl w:val="0"/>
          <w:numId w:val="1028"/>
        </w:numPr>
      </w:pPr>
      <w:r>
        <w:rPr>
          <w:b/>
          <w:bCs/>
        </w:rPr>
        <w:t xml:space="preserve">API integrations</w:t>
      </w:r>
      <w:r>
        <w:t xml:space="preserve"> </w:t>
      </w:r>
      <w:r>
        <w:t xml:space="preserve">— cross-agency data sharing with HHS, CMS, IRS, and</w:t>
      </w:r>
      <w:r>
        <w:t xml:space="preserve"> </w:t>
      </w:r>
      <w:r>
        <w:t xml:space="preserve">state agencies under data-sharing agreements</w:t>
      </w:r>
    </w:p>
    <w:p>
      <w:pPr>
        <w:pStyle w:val="FirstParagraph"/>
      </w:pPr>
      <w:r>
        <w:t xml:space="preserve">Systems that do not process PII (infrastructure-only, analytics on de-identified</w:t>
      </w:r>
      <w:r>
        <w:t xml:space="preserve"> </w:t>
      </w:r>
      <w:r>
        <w:t xml:space="preserve">data) are out of scope for PT controls but remain subject to all other control</w:t>
      </w:r>
      <w:r>
        <w:t xml:space="preserve"> </w:t>
      </w:r>
      <w:r>
        <w:t xml:space="preserve">families.</w:t>
      </w:r>
    </w:p>
    <w:p>
      <w:r>
        <w:pict>
          <v:rect style="width:0;height:1.5pt" o:hralign="center" o:hrstd="t" o:hr="t"/>
        </w:pict>
      </w:r>
    </w:p>
    <w:bookmarkEnd w:id="132"/>
    <w:bookmarkEnd w:id="133"/>
    <w:bookmarkStart w:id="136" w:name="privacy-program-plan-pt-1"/>
    <w:p>
      <w:pPr>
        <w:pStyle w:val="Heading1"/>
      </w:pPr>
      <w:r>
        <w:t xml:space="preserve">Privacy Program Plan (PT-1)</w:t>
      </w:r>
    </w:p>
    <w:bookmarkStart w:id="134" w:name="control-requirement"/>
    <w:p>
      <w:pPr>
        <w:pStyle w:val="Heading2"/>
      </w:pPr>
      <w:r>
        <w:t xml:space="preserve">Control Requirement</w:t>
      </w:r>
    </w:p>
    <w:p>
      <w:pPr>
        <w:pStyle w:val="FirstParagraph"/>
      </w:pPr>
      <w:r>
        <w:t xml:space="preserve">PT-1 requires the organization to develop, document, disseminate, and review a</w:t>
      </w:r>
      <w:r>
        <w:t xml:space="preserve"> </w:t>
      </w:r>
      <w:r>
        <w:t xml:space="preserve">privacy policy and procedures that address the purpose, scope, roles,</w:t>
      </w:r>
      <w:r>
        <w:t xml:space="preserve"> </w:t>
      </w:r>
      <w:r>
        <w:t xml:space="preserve">responsibilities, management commitment, coordination, and compliance for</w:t>
      </w:r>
      <w:r>
        <w:t xml:space="preserve"> </w:t>
      </w:r>
      <w:r>
        <w:t xml:space="preserve">the privacy program.</w:t>
      </w:r>
    </w:p>
    <w:p>
      <w:pPr>
        <w:pStyle w:val="BodyText"/>
      </w:pPr>
      <w:r>
        <w:rPr>
          <w:b/>
          <w:bCs/>
        </w:rPr>
        <w:t xml:space="preserve">Linkage:</w:t>
      </w:r>
      <w:r>
        <w:t xml:space="preserve"> </w:t>
      </w:r>
      <w:r>
        <w:t xml:space="preserve">PT-1 is the privacy parallel to PM-1 (ISPP, Vol IV Book 03 §2). The</w:t>
      </w:r>
      <w:r>
        <w:t xml:space="preserve"> </w:t>
      </w:r>
      <w:r>
        <w:t xml:space="preserve">Privacy Program Plan must be co-signed by both the SAISO/CISO and the Senior</w:t>
      </w:r>
      <w:r>
        <w:t xml:space="preserve"> </w:t>
      </w:r>
      <w:r>
        <w:t xml:space="preserve">Agency Official for Privacy (SAOP), and reviewed on the same annual cadence</w:t>
      </w:r>
      <w:r>
        <w:t xml:space="preserve"> </w:t>
      </w:r>
      <w:r>
        <w:t xml:space="preserve">as the ISPP. Cross-reference Vol IV Book 03 §3 RACI for the Privacy Officer role.</w:t>
      </w:r>
    </w:p>
    <w:bookmarkEnd w:id="134"/>
    <w:bookmarkStart w:id="135" w:name="privacy-program-plan-template"/>
    <w:p>
      <w:pPr>
        <w:pStyle w:val="Heading2"/>
      </w:pPr>
      <w:r>
        <w:t xml:space="preserve">Privacy Program Plan Template</w:t>
      </w:r>
    </w:p>
    <w:p>
      <w:pPr>
        <w:pStyle w:val="FirstParagraph"/>
      </w:pPr>
      <w:r>
        <w:rPr>
          <w:b/>
          <w:bCs/>
        </w:rPr>
        <w:t xml:space="preserve">Section 1 — Purpose and Scope</w:t>
      </w:r>
    </w:p>
    <w:p>
      <w:pPr>
        <w:pStyle w:val="BlockText"/>
      </w:pPr>
      <w:r>
        <w:t xml:space="preserve">[FILLABLE] This Privacy Program Plan (PPP) establishes the privacy governance</w:t>
      </w:r>
      <w:r>
        <w:t xml:space="preserve"> </w:t>
      </w:r>
      <w:r>
        <w:t xml:space="preserve">framework for [SYSTEM NAME], a GCC Moderate impact system operated by the</w:t>
      </w:r>
      <w:r>
        <w:t xml:space="preserve"> </w:t>
      </w:r>
      <w:r>
        <w:t xml:space="preserve">Agency under FedRAMP 20x Authorization. This plan</w:t>
      </w:r>
      <w:r>
        <w:t xml:space="preserve"> </w:t>
      </w:r>
      <w:r>
        <w:t xml:space="preserve">implements the privacy requirements of the Privacy Act of 1974 (5 U.S.C.</w:t>
      </w:r>
      <w:r>
        <w:t xml:space="preserve"> </w:t>
      </w:r>
      <w:r>
        <w:t xml:space="preserve">§552a), the E-Government Act of 2002 (Pub. L. 107-347, §208; 44 U.S.C. §3501 note), OMB Circular A-130</w:t>
      </w:r>
      <w:r>
        <w:t xml:space="preserve"> </w:t>
      </w:r>
      <w:r>
        <w:t xml:space="preserve">(Appendix II), and OMB Memorandum M-03-22.</w:t>
      </w:r>
    </w:p>
    <w:p>
      <w:pPr>
        <w:pStyle w:val="BlockText"/>
      </w:pPr>
      <w:r>
        <w:rPr>
          <w:b/>
          <w:bCs/>
        </w:rPr>
        <w:t xml:space="preserve">Authorization Boundary:</w:t>
      </w:r>
      <w:r>
        <w:t xml:space="preserve"> </w:t>
      </w:r>
      <w:r>
        <w:t xml:space="preserve">[Reference boundary diagram. Must match the</w:t>
      </w:r>
      <w:r>
        <w:t xml:space="preserve"> </w:t>
      </w:r>
      <w:r>
        <w:t xml:space="preserve">data flow map in §8 and the SSP boundary description.]</w:t>
      </w:r>
    </w:p>
    <w:p>
      <w:pPr>
        <w:pStyle w:val="BlockText"/>
      </w:pPr>
      <w:r>
        <w:rPr>
          <w:b/>
          <w:bCs/>
        </w:rPr>
        <w:t xml:space="preserve">Effective Date:</w:t>
      </w:r>
      <w:r>
        <w:t xml:space="preserve"> </w:t>
      </w:r>
      <w:r>
        <w:t xml:space="preserve">[DATE]</w:t>
      </w:r>
      <w:r>
        <w:t xml:space="preserve"> </w:t>
      </w:r>
      <w:r>
        <w:rPr>
          <w:b/>
          <w:bCs/>
        </w:rPr>
        <w:t xml:space="preserve">Review Cycle:</w:t>
      </w:r>
      <w:r>
        <w:t xml:space="preserve"> </w:t>
      </w:r>
      <w:r>
        <w:t xml:space="preserve">Annual / After major system change</w:t>
      </w:r>
    </w:p>
    <w:p>
      <w:pPr>
        <w:pStyle w:val="BlockText"/>
      </w:pPr>
      <w:r>
        <w:rPr>
          <w:b/>
          <w:bCs/>
        </w:rPr>
        <w:t xml:space="preserve">Document Owner:</w:t>
      </w:r>
      <w:r>
        <w:t xml:space="preserve"> </w:t>
      </w:r>
      <w:r>
        <w:t xml:space="preserve">[NAME, TITLE] — Senior Agency Official for Privacy (SAOP)</w:t>
      </w:r>
    </w:p>
    <w:p>
      <w:pPr>
        <w:pStyle w:val="BlockText"/>
      </w:pPr>
      <w:r>
        <w:rPr>
          <w:b/>
          <w:bCs/>
        </w:rPr>
        <w:t xml:space="preserve">Co-Owner:</w:t>
      </w:r>
      <w:r>
        <w:t xml:space="preserve"> </w:t>
      </w:r>
      <w:r>
        <w:t xml:space="preserve">[NAME, TITLE] — SAISO/CISO</w:t>
      </w:r>
    </w:p>
    <w:p>
      <w:pPr>
        <w:pStyle w:val="BlockText"/>
      </w:pPr>
      <w:r>
        <w:rPr>
          <w:b/>
          <w:bCs/>
        </w:rPr>
        <w:t xml:space="preserve">Approver:</w:t>
      </w:r>
      <w:r>
        <w:t xml:space="preserve"> </w:t>
      </w:r>
      <w:r>
        <w:t xml:space="preserve">[NAME, TITLE] — Authorizing Official (AO)</w:t>
      </w:r>
    </w:p>
    <w:p>
      <w:pPr>
        <w:pStyle w:val="FirstParagraph"/>
      </w:pPr>
      <w:r>
        <w:rPr>
          <w:b/>
          <w:bCs/>
        </w:rPr>
        <w:t xml:space="preserve">Section 2 — Legal and Regulatory Authority</w:t>
      </w:r>
    </w:p>
    <w:p>
      <w:pPr>
        <w:pStyle w:val="Compact"/>
        <w:numPr>
          <w:ilvl w:val="0"/>
          <w:numId w:val="1029"/>
        </w:numPr>
      </w:pPr>
      <w:r>
        <w:t xml:space="preserve">Privacy Act of 1974, 5 U.S.C. §552a</w:t>
      </w:r>
    </w:p>
    <w:p>
      <w:pPr>
        <w:pStyle w:val="Compact"/>
        <w:numPr>
          <w:ilvl w:val="0"/>
          <w:numId w:val="1029"/>
        </w:numPr>
      </w:pPr>
      <w:r>
        <w:t xml:space="preserve">E-Government Act of 2002, Pub. L. 107-347, §208 (44 U.S.C. §3501 note)</w:t>
      </w:r>
    </w:p>
    <w:p>
      <w:pPr>
        <w:pStyle w:val="Compact"/>
        <w:numPr>
          <w:ilvl w:val="0"/>
          <w:numId w:val="1029"/>
        </w:numPr>
      </w:pPr>
      <w:r>
        <w:t xml:space="preserve">Federal Information Security Modernization Act (FISMA), 44 U.S.C. §3551 et seq.</w:t>
      </w:r>
    </w:p>
    <w:p>
      <w:pPr>
        <w:pStyle w:val="Compact"/>
        <w:numPr>
          <w:ilvl w:val="0"/>
          <w:numId w:val="1029"/>
        </w:numPr>
      </w:pPr>
      <w:r>
        <w:t xml:space="preserve">OMB Memorandum M-03-22, OMB Guidance for Implementing the Privacy Provisions</w:t>
      </w:r>
      <w:r>
        <w:t xml:space="preserve"> </w:t>
      </w:r>
      <w:r>
        <w:t xml:space="preserve">of the E-Government Act of 2002</w:t>
      </w:r>
    </w:p>
    <w:p>
      <w:pPr>
        <w:pStyle w:val="Compact"/>
        <w:numPr>
          <w:ilvl w:val="0"/>
          <w:numId w:val="1029"/>
        </w:numPr>
      </w:pPr>
      <w:r>
        <w:t xml:space="preserve">OMB Circular A-130, Appendix II, Responsibilities for Managing PII</w:t>
      </w:r>
    </w:p>
    <w:p>
      <w:pPr>
        <w:pStyle w:val="Compact"/>
        <w:numPr>
          <w:ilvl w:val="0"/>
          <w:numId w:val="1029"/>
        </w:numPr>
      </w:pPr>
      <w:r>
        <w:t xml:space="preserve">OMB Memorandum M-17-12, Preparing for and Responding to a Breach of PII</w:t>
      </w:r>
    </w:p>
    <w:p>
      <w:pPr>
        <w:pStyle w:val="Compact"/>
        <w:numPr>
          <w:ilvl w:val="0"/>
          <w:numId w:val="1029"/>
        </w:numPr>
      </w:pPr>
      <w:r>
        <w:t xml:space="preserve">NIST SP 800-53 Rev 5, Privacy Control Family (PT)</w:t>
      </w:r>
    </w:p>
    <w:p>
      <w:pPr>
        <w:pStyle w:val="Compact"/>
        <w:numPr>
          <w:ilvl w:val="0"/>
          <w:numId w:val="1029"/>
        </w:numPr>
      </w:pPr>
      <w:r>
        <w:t xml:space="preserve">NIST SP 800-122, Guide to Protecting Confidentiality of PII</w:t>
      </w:r>
    </w:p>
    <w:p>
      <w:pPr>
        <w:pStyle w:val="Compact"/>
        <w:numPr>
          <w:ilvl w:val="0"/>
          <w:numId w:val="1029"/>
        </w:numPr>
      </w:pPr>
      <w:r>
        <w:t xml:space="preserve">FedRAMP 20x Authorization Framework (GSA, 2026)</w:t>
      </w:r>
    </w:p>
    <w:p>
      <w:pPr>
        <w:pStyle w:val="FirstParagraph"/>
      </w:pPr>
      <w:r>
        <w:rPr>
          <w:b/>
          <w:bCs/>
        </w:rPr>
        <w:t xml:space="preserve">Section 3 — Roles and Responsibilities</w:t>
      </w:r>
    </w:p>
    <w:tbl>
      <w:tblPr>
        <w:tblStyle w:val="Table"/>
        <w:tblW w:type="pct" w:w="5000"/>
        <w:tblLayout w:type="fixed"/>
        <w:tblLook w:firstRow="1" w:lastRow="0" w:firstColumn="0" w:lastColumn="0" w:noHBand="0" w:noVBand="0" w:val="0020"/>
      </w:tblPr>
      <w:tblGrid>
        <w:gridCol w:w="1105"/>
        <w:gridCol w:w="2762"/>
        <w:gridCol w:w="4052"/>
      </w:tblGrid>
      <w:tr>
        <w:trPr>
          <w:tblHeader w:val="on"/>
        </w:trPr>
        <w:tc>
          <w:tcPr/>
          <w:p>
            <w:pPr>
              <w:pStyle w:val="Compact"/>
            </w:pPr>
            <w:r>
              <w:t xml:space="preserve">Role</w:t>
            </w:r>
          </w:p>
        </w:tc>
        <w:tc>
          <w:tcPr/>
          <w:p>
            <w:pPr>
              <w:pStyle w:val="Compact"/>
            </w:pPr>
            <w:r>
              <w:t xml:space="preserve">Responsibility</w:t>
            </w:r>
          </w:p>
        </w:tc>
        <w:tc>
          <w:tcPr/>
          <w:p>
            <w:pPr>
              <w:pStyle w:val="Compact"/>
            </w:pPr>
            <w:r>
              <w:t xml:space="preserve">PT Control Ownership</w:t>
            </w:r>
          </w:p>
        </w:tc>
      </w:tr>
      <w:tr>
        <w:tc>
          <w:tcPr/>
          <w:p>
            <w:pPr>
              <w:pStyle w:val="Compact"/>
            </w:pPr>
            <w:r>
              <w:rPr>
                <w:b/>
                <w:bCs/>
              </w:rPr>
              <w:t xml:space="preserve">SAOP</w:t>
            </w:r>
          </w:p>
        </w:tc>
        <w:tc>
          <w:tcPr/>
          <w:p>
            <w:pPr>
              <w:pStyle w:val="Compact"/>
            </w:pPr>
            <w:r>
              <w:t xml:space="preserve">Chairs Privacy Council; approves PIAs and SORNs; annual program review</w:t>
            </w:r>
          </w:p>
        </w:tc>
        <w:tc>
          <w:tcPr/>
          <w:p>
            <w:pPr>
              <w:pStyle w:val="Compact"/>
            </w:pPr>
            <w:r>
              <w:t xml:space="preserve">PT-1, PT-2, PT-5</w:t>
            </w:r>
          </w:p>
        </w:tc>
      </w:tr>
      <w:tr>
        <w:tc>
          <w:tcPr/>
          <w:p>
            <w:pPr>
              <w:pStyle w:val="Compact"/>
            </w:pPr>
            <w:r>
              <w:rPr>
                <w:b/>
                <w:bCs/>
              </w:rPr>
              <w:t xml:space="preserve">System Privacy Officer (SPO)</w:t>
            </w:r>
          </w:p>
        </w:tc>
        <w:tc>
          <w:tcPr/>
          <w:p>
            <w:pPr>
              <w:pStyle w:val="Compact"/>
            </w:pPr>
            <w:r>
              <w:t xml:space="preserve">System-level privacy representative; maintains PT artifacts</w:t>
            </w:r>
          </w:p>
        </w:tc>
        <w:tc>
          <w:tcPr/>
          <w:p>
            <w:pPr>
              <w:pStyle w:val="Compact"/>
            </w:pPr>
            <w:r>
              <w:t xml:space="preserve">PT-3, PT-4, PT-7</w:t>
            </w:r>
          </w:p>
        </w:tc>
      </w:tr>
      <w:tr>
        <w:tc>
          <w:tcPr/>
          <w:p>
            <w:pPr>
              <w:pStyle w:val="Compact"/>
            </w:pPr>
            <w:r>
              <w:rPr>
                <w:b/>
                <w:bCs/>
              </w:rPr>
              <w:t xml:space="preserve">ISSO</w:t>
            </w:r>
          </w:p>
        </w:tc>
        <w:tc>
          <w:tcPr/>
          <w:p>
            <w:pPr>
              <w:pStyle w:val="Compact"/>
            </w:pPr>
            <w:r>
              <w:t xml:space="preserve">Integrates privacy controls into security assessment; POA&amp;M</w:t>
            </w:r>
          </w:p>
        </w:tc>
        <w:tc>
          <w:tcPr/>
          <w:p>
            <w:pPr>
              <w:pStyle w:val="Compact"/>
            </w:pPr>
            <w:r>
              <w:t xml:space="preserve">PT-1, PT-7</w:t>
            </w:r>
          </w:p>
        </w:tc>
      </w:tr>
      <w:tr>
        <w:tc>
          <w:tcPr/>
          <w:p>
            <w:pPr>
              <w:pStyle w:val="Compact"/>
            </w:pPr>
            <w:r>
              <w:rPr>
                <w:b/>
                <w:bCs/>
              </w:rPr>
              <w:t xml:space="preserve">Legal Counsel</w:t>
            </w:r>
          </w:p>
        </w:tc>
        <w:tc>
          <w:tcPr/>
          <w:p>
            <w:pPr>
              <w:pStyle w:val="Compact"/>
            </w:pPr>
            <w:r>
              <w:t xml:space="preserve">Reviews SORN language; validates legal authority citations</w:t>
            </w:r>
          </w:p>
        </w:tc>
        <w:tc>
          <w:tcPr/>
          <w:p>
            <w:pPr>
              <w:pStyle w:val="Compact"/>
            </w:pPr>
            <w:r>
              <w:t xml:space="preserve">PT-2</w:t>
            </w:r>
          </w:p>
        </w:tc>
      </w:tr>
      <w:tr>
        <w:tc>
          <w:tcPr/>
          <w:p>
            <w:pPr>
              <w:pStyle w:val="Compact"/>
            </w:pPr>
            <w:r>
              <w:rPr>
                <w:b/>
                <w:bCs/>
              </w:rPr>
              <w:t xml:space="preserve">DevSecOps Lead</w:t>
            </w:r>
          </w:p>
        </w:tc>
        <w:tc>
          <w:tcPr/>
          <w:p>
            <w:pPr>
              <w:pStyle w:val="Compact"/>
            </w:pPr>
            <w:r>
              <w:t xml:space="preserve">Implements Purview labels; data flow automation</w:t>
            </w:r>
          </w:p>
        </w:tc>
        <w:tc>
          <w:tcPr/>
          <w:p>
            <w:pPr>
              <w:pStyle w:val="Compact"/>
            </w:pPr>
            <w:r>
              <w:t xml:space="preserve">PT-3, PT-7</w:t>
            </w:r>
          </w:p>
        </w:tc>
      </w:tr>
      <w:tr>
        <w:tc>
          <w:tcPr/>
          <w:p>
            <w:pPr>
              <w:pStyle w:val="Compact"/>
            </w:pPr>
            <w:r>
              <w:rPr>
                <w:b/>
                <w:bCs/>
              </w:rPr>
              <w:t xml:space="preserve">Communications / Web</w:t>
            </w:r>
          </w:p>
        </w:tc>
        <w:tc>
          <w:tcPr/>
          <w:p>
            <w:pPr>
              <w:pStyle w:val="Compact"/>
            </w:pPr>
            <w:r>
              <w:t xml:space="preserve">Publishes privacy notices; maintains notice URLs</w:t>
            </w:r>
          </w:p>
        </w:tc>
        <w:tc>
          <w:tcPr/>
          <w:p>
            <w:pPr>
              <w:pStyle w:val="Compact"/>
            </w:pPr>
            <w:r>
              <w:t xml:space="preserve">PT-5</w:t>
            </w:r>
          </w:p>
        </w:tc>
      </w:tr>
    </w:tbl>
    <w:p>
      <w:pPr>
        <w:pStyle w:val="BodyText"/>
      </w:pPr>
      <w:r>
        <w:rPr>
          <w:b/>
          <w:bCs/>
        </w:rPr>
        <w:t xml:space="preserve">Section 4 — Program Oversight Cadence</w:t>
      </w:r>
    </w:p>
    <w:tbl>
      <w:tblPr>
        <w:tblStyle w:val="Table"/>
        <w:tblW w:type="pct" w:w="5000"/>
        <w:tblLayout w:type="fixed"/>
        <w:tblLook w:firstRow="1" w:lastRow="0" w:firstColumn="0" w:lastColumn="0" w:noHBand="0" w:noVBand="0" w:val="0020"/>
      </w:tblPr>
      <w:tblGrid>
        <w:gridCol w:w="1760"/>
        <w:gridCol w:w="1232"/>
        <w:gridCol w:w="1584"/>
        <w:gridCol w:w="3344"/>
      </w:tblGrid>
      <w:tr>
        <w:trPr>
          <w:tblHeader w:val="on"/>
        </w:trPr>
        <w:tc>
          <w:tcPr/>
          <w:p>
            <w:pPr>
              <w:pStyle w:val="Compact"/>
            </w:pPr>
            <w:r>
              <w:t xml:space="preserve">Activity</w:t>
            </w:r>
          </w:p>
        </w:tc>
        <w:tc>
          <w:tcPr/>
          <w:p>
            <w:pPr>
              <w:pStyle w:val="Compact"/>
            </w:pPr>
            <w:r>
              <w:t xml:space="preserve">Owner</w:t>
            </w:r>
          </w:p>
        </w:tc>
        <w:tc>
          <w:tcPr/>
          <w:p>
            <w:pPr>
              <w:pStyle w:val="Compact"/>
            </w:pPr>
            <w:r>
              <w:t xml:space="preserve">Cadence</w:t>
            </w:r>
          </w:p>
        </w:tc>
        <w:tc>
          <w:tcPr/>
          <w:p>
            <w:pPr>
              <w:pStyle w:val="Compact"/>
            </w:pPr>
            <w:r>
              <w:t xml:space="preserve">Artifact Produced</w:t>
            </w:r>
          </w:p>
        </w:tc>
      </w:tr>
      <w:tr>
        <w:tc>
          <w:tcPr/>
          <w:p>
            <w:pPr>
              <w:pStyle w:val="Compact"/>
            </w:pPr>
            <w:r>
              <w:t xml:space="preserve">Privacy Program Plan review</w:t>
            </w:r>
          </w:p>
        </w:tc>
        <w:tc>
          <w:tcPr/>
          <w:p>
            <w:pPr>
              <w:pStyle w:val="Compact"/>
            </w:pPr>
            <w:r>
              <w:t xml:space="preserve">SAOP</w:t>
            </w:r>
          </w:p>
        </w:tc>
        <w:tc>
          <w:tcPr/>
          <w:p>
            <w:pPr>
              <w:pStyle w:val="Compact"/>
            </w:pPr>
            <w:r>
              <w:t xml:space="preserve">Annual</w:t>
            </w:r>
          </w:p>
        </w:tc>
        <w:tc>
          <w:tcPr/>
          <w:p>
            <w:pPr>
              <w:pStyle w:val="Compact"/>
            </w:pPr>
            <w:r>
              <w:t xml:space="preserve">Updated PPP with AO signature</w:t>
            </w:r>
          </w:p>
        </w:tc>
      </w:tr>
      <w:tr>
        <w:tc>
          <w:tcPr/>
          <w:p>
            <w:pPr>
              <w:pStyle w:val="Compact"/>
            </w:pPr>
            <w:r>
              <w:t xml:space="preserve">Privacy Impact Assessment (PIA)</w:t>
            </w:r>
          </w:p>
        </w:tc>
        <w:tc>
          <w:tcPr/>
          <w:p>
            <w:pPr>
              <w:pStyle w:val="Compact"/>
            </w:pPr>
            <w:r>
              <w:t xml:space="preserve">SPO</w:t>
            </w:r>
          </w:p>
        </w:tc>
        <w:tc>
          <w:tcPr/>
          <w:p>
            <w:pPr>
              <w:pStyle w:val="Compact"/>
            </w:pPr>
            <w:r>
              <w:t xml:space="preserve">At boundary establishment; after major change</w:t>
            </w:r>
          </w:p>
        </w:tc>
        <w:tc>
          <w:tcPr/>
          <w:p>
            <w:pPr>
              <w:pStyle w:val="Compact"/>
            </w:pPr>
            <w:r>
              <w:t xml:space="preserve">PIA Report</w:t>
            </w:r>
          </w:p>
        </w:tc>
      </w:tr>
      <w:tr>
        <w:tc>
          <w:tcPr/>
          <w:p>
            <w:pPr>
              <w:pStyle w:val="Compact"/>
            </w:pPr>
            <w:r>
              <w:t xml:space="preserve">SORN review and update</w:t>
            </w:r>
          </w:p>
        </w:tc>
        <w:tc>
          <w:tcPr/>
          <w:p>
            <w:pPr>
              <w:pStyle w:val="Compact"/>
            </w:pPr>
            <w:r>
              <w:t xml:space="preserve">Legal + SAOP</w:t>
            </w:r>
          </w:p>
        </w:tc>
        <w:tc>
          <w:tcPr/>
          <w:p>
            <w:pPr>
              <w:pStyle w:val="Compact"/>
            </w:pPr>
            <w:r>
              <w:t xml:space="preserve">Every 3 years or upon significant change</w:t>
            </w:r>
          </w:p>
        </w:tc>
        <w:tc>
          <w:tcPr/>
          <w:p>
            <w:pPr>
              <w:pStyle w:val="Compact"/>
            </w:pPr>
            <w:r>
              <w:t xml:space="preserve">SORN Amendment (Federal Register)</w:t>
            </w:r>
          </w:p>
        </w:tc>
      </w:tr>
      <w:tr>
        <w:tc>
          <w:tcPr/>
          <w:p>
            <w:pPr>
              <w:pStyle w:val="Compact"/>
            </w:pPr>
            <w:r>
              <w:t xml:space="preserve">Privacy control assessment</w:t>
            </w:r>
          </w:p>
        </w:tc>
        <w:tc>
          <w:tcPr/>
          <w:p>
            <w:pPr>
              <w:pStyle w:val="Compact"/>
            </w:pPr>
            <w:r>
              <w:t xml:space="preserve">ISSO + independent assessor (3PAO if engaged)</w:t>
            </w:r>
          </w:p>
        </w:tc>
        <w:tc>
          <w:tcPr/>
          <w:p>
            <w:pPr>
              <w:pStyle w:val="Compact"/>
            </w:pPr>
            <w:r>
              <w:t xml:space="preserve">Annual (aligned with security assessment)</w:t>
            </w:r>
          </w:p>
        </w:tc>
        <w:tc>
          <w:tcPr/>
          <w:p>
            <w:pPr>
              <w:pStyle w:val="Compact"/>
            </w:pPr>
            <w:r>
              <w:t xml:space="preserve">Privacy Assessment Report</w:t>
            </w:r>
          </w:p>
        </w:tc>
      </w:tr>
      <w:tr>
        <w:tc>
          <w:tcPr/>
          <w:p>
            <w:pPr>
              <w:pStyle w:val="Compact"/>
            </w:pPr>
            <w:r>
              <w:t xml:space="preserve">Purpose limitation review (PT-3)</w:t>
            </w:r>
          </w:p>
        </w:tc>
        <w:tc>
          <w:tcPr/>
          <w:p>
            <w:pPr>
              <w:pStyle w:val="Compact"/>
            </w:pPr>
            <w:r>
              <w:t xml:space="preserve">SPO</w:t>
            </w:r>
          </w:p>
        </w:tc>
        <w:tc>
          <w:tcPr/>
          <w:p>
            <w:pPr>
              <w:pStyle w:val="Compact"/>
            </w:pPr>
            <w:r>
              <w:t xml:space="preserve">Annual</w:t>
            </w:r>
          </w:p>
        </w:tc>
        <w:tc>
          <w:tcPr/>
          <w:p>
            <w:pPr>
              <w:pStyle w:val="Compact"/>
            </w:pPr>
            <w:r>
              <w:t xml:space="preserve">PT-3 Checklist (§4)</w:t>
            </w:r>
          </w:p>
        </w:tc>
      </w:tr>
      <w:tr>
        <w:tc>
          <w:tcPr/>
          <w:p>
            <w:pPr>
              <w:pStyle w:val="Compact"/>
            </w:pPr>
            <w:r>
              <w:t xml:space="preserve">Breach response exercise</w:t>
            </w:r>
          </w:p>
        </w:tc>
        <w:tc>
          <w:tcPr/>
          <w:p>
            <w:pPr>
              <w:pStyle w:val="Compact"/>
            </w:pPr>
            <w:r>
              <w:t xml:space="preserve">SAOP + ISSO</w:t>
            </w:r>
          </w:p>
        </w:tc>
        <w:tc>
          <w:tcPr/>
          <w:p>
            <w:pPr>
              <w:pStyle w:val="Compact"/>
            </w:pPr>
            <w:r>
              <w:t xml:space="preserve">Annual</w:t>
            </w:r>
          </w:p>
        </w:tc>
        <w:tc>
          <w:tcPr/>
          <w:p>
            <w:pPr>
              <w:pStyle w:val="Compact"/>
            </w:pPr>
            <w:r>
              <w:t xml:space="preserve">Tabletop AAR</w:t>
            </w:r>
          </w:p>
        </w:tc>
      </w:tr>
      <w:tr>
        <w:tc>
          <w:tcPr/>
          <w:p>
            <w:pPr>
              <w:pStyle w:val="Compact"/>
            </w:pPr>
            <w:r>
              <w:t xml:space="preserve">Data flow map update (§8)</w:t>
            </w:r>
          </w:p>
        </w:tc>
        <w:tc>
          <w:tcPr/>
          <w:p>
            <w:pPr>
              <w:pStyle w:val="Compact"/>
            </w:pPr>
            <w:r>
              <w:t xml:space="preserve">DevSecOps + SPO</w:t>
            </w:r>
          </w:p>
        </w:tc>
        <w:tc>
          <w:tcPr/>
          <w:p>
            <w:pPr>
              <w:pStyle w:val="Compact"/>
            </w:pPr>
            <w:r>
              <w:t xml:space="preserve">After each major data flow change</w:t>
            </w:r>
          </w:p>
        </w:tc>
        <w:tc>
          <w:tcPr/>
          <w:p>
            <w:pPr>
              <w:pStyle w:val="Compact"/>
            </w:pPr>
            <w:r>
              <w:t xml:space="preserve">Updated data flow map</w:t>
            </w:r>
          </w:p>
        </w:tc>
      </w:tr>
    </w:tbl>
    <w:p>
      <w:pPr>
        <w:pStyle w:val="BlockText"/>
      </w:pPr>
      <w:r>
        <w:t xml:space="preserve">[FILLABLE] Confirm cadence dates align with the FedRAMP 20x Continuous</w:t>
      </w:r>
      <w:r>
        <w:t xml:space="preserve"> </w:t>
      </w:r>
      <w:r>
        <w:t xml:space="preserve">Monitoring plan. The annual privacy assessment must be completed within</w:t>
      </w:r>
      <w:r>
        <w:t xml:space="preserve"> </w:t>
      </w:r>
      <w:r>
        <w:t xml:space="preserve">365 days of the prior assessment. Document the next scheduled date for each</w:t>
      </w:r>
      <w:r>
        <w:t xml:space="preserve"> </w:t>
      </w:r>
      <w:r>
        <w:t xml:space="preserve">activity in the column above.</w:t>
      </w:r>
    </w:p>
    <w:p>
      <w:r>
        <w:pict>
          <v:rect style="width:0;height:1.5pt" o:hralign="center" o:hrstd="t" o:hr="t"/>
        </w:pict>
      </w:r>
    </w:p>
    <w:bookmarkEnd w:id="135"/>
    <w:bookmarkEnd w:id="136"/>
    <w:bookmarkStart w:id="140" w:name="authority-to-process-pii-pt-2"/>
    <w:p>
      <w:pPr>
        <w:pStyle w:val="Heading1"/>
      </w:pPr>
      <w:r>
        <w:t xml:space="preserve">Authority to Process PII (PT-2)</w:t>
      </w:r>
    </w:p>
    <w:bookmarkStart w:id="137" w:name="control-requirement-1"/>
    <w:p>
      <w:pPr>
        <w:pStyle w:val="Heading2"/>
      </w:pPr>
      <w:r>
        <w:t xml:space="preserve">Control Requirement</w:t>
      </w:r>
    </w:p>
    <w:p>
      <w:pPr>
        <w:pStyle w:val="FirstParagraph"/>
      </w:pPr>
      <w:r>
        <w:t xml:space="preserve">PT-2 requires the organization to identify the legal authority that permits the</w:t>
      </w:r>
      <w:r>
        <w:t xml:space="preserve"> </w:t>
      </w:r>
      <w:r>
        <w:t xml:space="preserve">collection, use, maintenance, and sharing of PII and restricts the collection</w:t>
      </w:r>
      <w:r>
        <w:t xml:space="preserve"> </w:t>
      </w:r>
      <w:r>
        <w:t xml:space="preserve">of PII to the minimum necessary for the identified purpose.</w:t>
      </w:r>
    </w:p>
    <w:bookmarkEnd w:id="137"/>
    <w:bookmarkStart w:id="138" w:name="legal-authority-matrix"/>
    <w:p>
      <w:pPr>
        <w:pStyle w:val="Heading2"/>
      </w:pPr>
      <w:r>
        <w:t xml:space="preserve">Legal Authority Matrix</w:t>
      </w:r>
    </w:p>
    <w:p>
      <w:pPr>
        <w:pStyle w:val="BlockText"/>
      </w:pPr>
      <w:r>
        <w:t xml:space="preserve">[FILLABLE] Complete the following matrix for every PII category the system</w:t>
      </w:r>
      <w:r>
        <w:t xml:space="preserve"> </w:t>
      </w:r>
      <w:r>
        <w:t xml:space="preserve">collects. Each row requires a specific legal citation —</w:t>
      </w:r>
      <w:r>
        <w:t xml:space="preserve"> </w:t>
      </w:r>
      <w:r>
        <w:t xml:space="preserve">“general mission</w:t>
      </w:r>
      <w:r>
        <w:t xml:space="preserve"> </w:t>
      </w:r>
      <w:r>
        <w:t xml:space="preserve">authority”</w:t>
      </w:r>
      <w:r>
        <w:t xml:space="preserve"> </w:t>
      </w:r>
      <w:r>
        <w:t xml:space="preserve">is not sufficient. Consult Agency Legal Counsel for each entry.</w:t>
      </w:r>
    </w:p>
    <w:tbl>
      <w:tblPr>
        <w:tblStyle w:val="Table"/>
        <w:tblW w:type="pct" w:w="5000"/>
        <w:tblLayout w:type="fixed"/>
        <w:tblLook w:firstRow="1" w:lastRow="0" w:firstColumn="0" w:lastColumn="0" w:noHBand="0" w:noVBand="0" w:val="0020"/>
      </w:tblPr>
      <w:tblGrid>
        <w:gridCol w:w="1119"/>
        <w:gridCol w:w="1119"/>
        <w:gridCol w:w="2754"/>
        <w:gridCol w:w="1463"/>
        <w:gridCol w:w="1463"/>
      </w:tblGrid>
      <w:tr>
        <w:trPr>
          <w:tblHeader w:val="on"/>
        </w:trPr>
        <w:tc>
          <w:tcPr/>
          <w:p>
            <w:pPr>
              <w:pStyle w:val="Compact"/>
            </w:pPr>
            <w:r>
              <w:t xml:space="preserve">PII Category</w:t>
            </w:r>
          </w:p>
        </w:tc>
        <w:tc>
          <w:tcPr/>
          <w:p>
            <w:pPr>
              <w:pStyle w:val="Compact"/>
            </w:pPr>
            <w:r>
              <w:t xml:space="preserve">Legal Basis</w:t>
            </w:r>
          </w:p>
        </w:tc>
        <w:tc>
          <w:tcPr/>
          <w:p>
            <w:pPr>
              <w:pStyle w:val="Compact"/>
            </w:pPr>
            <w:r>
              <w:t xml:space="preserve">Statutory / Regulatory Citation</w:t>
            </w:r>
          </w:p>
        </w:tc>
        <w:tc>
          <w:tcPr/>
          <w:p>
            <w:pPr>
              <w:pStyle w:val="Compact"/>
            </w:pPr>
            <w:r>
              <w:t xml:space="preserve">Retention Period</w:t>
            </w:r>
          </w:p>
        </w:tc>
        <w:tc>
          <w:tcPr/>
          <w:p>
            <w:pPr>
              <w:pStyle w:val="Compact"/>
            </w:pPr>
            <w:r>
              <w:t xml:space="preserve">Disposal Method</w:t>
            </w:r>
          </w:p>
        </w:tc>
      </w:tr>
      <w:tr>
        <w:tc>
          <w:tcPr/>
          <w:p>
            <w:pPr>
              <w:pStyle w:val="Compact"/>
            </w:pPr>
            <w:r>
              <w:t xml:space="preserve">Social Security Number (SSN)</w:t>
            </w:r>
          </w:p>
        </w:tc>
        <w:tc>
          <w:tcPr/>
          <w:p>
            <w:pPr>
              <w:pStyle w:val="Compact"/>
            </w:pPr>
            <w:r>
              <w:t xml:space="preserve">Statutory</w:t>
            </w:r>
          </w:p>
        </w:tc>
        <w:tc>
          <w:tcPr/>
          <w:p>
            <w:pPr>
              <w:pStyle w:val="Compact"/>
            </w:pPr>
            <w:r>
              <w:t xml:space="preserve">[CITATION]</w:t>
            </w:r>
          </w:p>
        </w:tc>
        <w:tc>
          <w:tcPr/>
          <w:p>
            <w:pPr>
              <w:pStyle w:val="Compact"/>
            </w:pPr>
            <w:r>
              <w:t xml:space="preserve">[N years per records schedule]</w:t>
            </w:r>
          </w:p>
        </w:tc>
        <w:tc>
          <w:tcPr/>
          <w:p>
            <w:pPr>
              <w:pStyle w:val="Compact"/>
            </w:pPr>
            <w:r>
              <w:t xml:space="preserve">NIST 800-88 purge</w:t>
            </w:r>
          </w:p>
        </w:tc>
      </w:tr>
      <w:tr>
        <w:tc>
          <w:tcPr/>
          <w:p>
            <w:pPr>
              <w:pStyle w:val="Compact"/>
            </w:pPr>
            <w:r>
              <w:t xml:space="preserve">Name and date of birth</w:t>
            </w:r>
          </w:p>
        </w:tc>
        <w:tc>
          <w:tcPr/>
          <w:p>
            <w:pPr>
              <w:pStyle w:val="Compact"/>
            </w:pPr>
            <w:r>
              <w:t xml:space="preserve">Statutory</w:t>
            </w:r>
          </w:p>
        </w:tc>
        <w:tc>
          <w:tcPr/>
          <w:p>
            <w:pPr>
              <w:pStyle w:val="Compact"/>
            </w:pPr>
            <w:r>
              <w:t xml:space="preserve">[CITATION]</w:t>
            </w:r>
          </w:p>
        </w:tc>
        <w:tc>
          <w:tcPr/>
          <w:p>
            <w:pPr>
              <w:pStyle w:val="Compact"/>
            </w:pPr>
            <w:r>
              <w:t xml:space="preserve">[N years per records schedule]</w:t>
            </w:r>
          </w:p>
        </w:tc>
        <w:tc>
          <w:tcPr/>
          <w:p>
            <w:pPr>
              <w:pStyle w:val="Compact"/>
            </w:pPr>
            <w:r>
              <w:t xml:space="preserve">NIST 800-88 purge</w:t>
            </w:r>
          </w:p>
        </w:tc>
      </w:tr>
      <w:tr>
        <w:tc>
          <w:tcPr/>
          <w:p>
            <w:pPr>
              <w:pStyle w:val="Compact"/>
            </w:pPr>
            <w:r>
              <w:t xml:space="preserve">Program payment records</w:t>
            </w:r>
          </w:p>
        </w:tc>
        <w:tc>
          <w:tcPr/>
          <w:p>
            <w:pPr>
              <w:pStyle w:val="Compact"/>
            </w:pPr>
            <w:r>
              <w:t xml:space="preserve">Statutory</w:t>
            </w:r>
          </w:p>
        </w:tc>
        <w:tc>
          <w:tcPr/>
          <w:p>
            <w:pPr>
              <w:pStyle w:val="Compact"/>
            </w:pPr>
            <w:r>
              <w:t xml:space="preserve">[CITATION]</w:t>
            </w:r>
          </w:p>
        </w:tc>
        <w:tc>
          <w:tcPr/>
          <w:p>
            <w:pPr>
              <w:pStyle w:val="Compact"/>
            </w:pPr>
            <w:r>
              <w:t xml:space="preserve">7 years post-case closure</w:t>
            </w:r>
          </w:p>
        </w:tc>
        <w:tc>
          <w:tcPr/>
          <w:p>
            <w:pPr>
              <w:pStyle w:val="Compact"/>
            </w:pPr>
            <w:r>
              <w:t xml:space="preserve">NIST 800-88 purge</w:t>
            </w:r>
          </w:p>
        </w:tc>
      </w:tr>
      <w:tr>
        <w:tc>
          <w:tcPr/>
          <w:p>
            <w:pPr>
              <w:pStyle w:val="Compact"/>
            </w:pPr>
            <w:r>
              <w:t xml:space="preserve">Medical / disability records</w:t>
            </w:r>
          </w:p>
        </w:tc>
        <w:tc>
          <w:tcPr/>
          <w:p>
            <w:pPr>
              <w:pStyle w:val="Compact"/>
            </w:pPr>
            <w:r>
              <w:t xml:space="preserve">Statutory</w:t>
            </w:r>
          </w:p>
        </w:tc>
        <w:tc>
          <w:tcPr/>
          <w:p>
            <w:pPr>
              <w:pStyle w:val="Compact"/>
            </w:pPr>
            <w:r>
              <w:t xml:space="preserve">[CITATION]</w:t>
            </w:r>
          </w:p>
        </w:tc>
        <w:tc>
          <w:tcPr/>
          <w:p>
            <w:pPr>
              <w:pStyle w:val="Compact"/>
            </w:pPr>
            <w:r>
              <w:t xml:space="preserve">5 years post-determination</w:t>
            </w:r>
          </w:p>
        </w:tc>
        <w:tc>
          <w:tcPr/>
          <w:p>
            <w:pPr>
              <w:pStyle w:val="Compact"/>
            </w:pPr>
            <w:r>
              <w:t xml:space="preserve">Secure destruction + purge</w:t>
            </w:r>
          </w:p>
        </w:tc>
      </w:tr>
      <w:tr>
        <w:tc>
          <w:tcPr/>
          <w:p>
            <w:pPr>
              <w:pStyle w:val="Compact"/>
            </w:pPr>
            <w:r>
              <w:t xml:space="preserve">Contact information (address, phone, email)</w:t>
            </w:r>
          </w:p>
        </w:tc>
        <w:tc>
          <w:tcPr/>
          <w:p>
            <w:pPr>
              <w:pStyle w:val="Compact"/>
            </w:pPr>
            <w:r>
              <w:t xml:space="preserve">Statutory / Voluntary</w:t>
            </w:r>
          </w:p>
        </w:tc>
        <w:tc>
          <w:tcPr/>
          <w:p>
            <w:pPr>
              <w:pStyle w:val="Compact"/>
            </w:pPr>
            <w:r>
              <w:t xml:space="preserve">[CITATION], or voluntary collection per E-Gov Act §208</w:t>
            </w:r>
          </w:p>
        </w:tc>
        <w:tc>
          <w:tcPr/>
          <w:p>
            <w:pPr>
              <w:pStyle w:val="Compact"/>
            </w:pPr>
            <w:r>
              <w:t xml:space="preserve">Duration of case + [N years]</w:t>
            </w:r>
          </w:p>
        </w:tc>
        <w:tc>
          <w:tcPr/>
          <w:p>
            <w:pPr>
              <w:pStyle w:val="Compact"/>
            </w:pPr>
            <w:r>
              <w:t xml:space="preserve">NIST 800-88 purge</w:t>
            </w:r>
          </w:p>
        </w:tc>
      </w:tr>
      <w:tr>
        <w:tc>
          <w:tcPr/>
          <w:p>
            <w:pPr>
              <w:pStyle w:val="Compact"/>
            </w:pPr>
            <w:r>
              <w:t xml:space="preserve">Financial account data (direct deposit)</w:t>
            </w:r>
          </w:p>
        </w:tc>
        <w:tc>
          <w:tcPr/>
          <w:p>
            <w:pPr>
              <w:pStyle w:val="Compact"/>
            </w:pPr>
            <w:r>
              <w:t xml:space="preserve">Statutory</w:t>
            </w:r>
          </w:p>
        </w:tc>
        <w:tc>
          <w:tcPr/>
          <w:p>
            <w:pPr>
              <w:pStyle w:val="Compact"/>
            </w:pPr>
            <w:r>
              <w:t xml:space="preserve">[CITATION]</w:t>
            </w:r>
          </w:p>
        </w:tc>
        <w:tc>
          <w:tcPr/>
          <w:p>
            <w:pPr>
              <w:pStyle w:val="Compact"/>
            </w:pPr>
            <w:r>
              <w:t xml:space="preserve">7 years</w:t>
            </w:r>
          </w:p>
        </w:tc>
        <w:tc>
          <w:tcPr/>
          <w:p>
            <w:pPr>
              <w:pStyle w:val="Compact"/>
            </w:pPr>
            <w:r>
              <w:t xml:space="preserve">NIST 800-88 purge</w:t>
            </w:r>
          </w:p>
        </w:tc>
      </w:tr>
      <w:tr>
        <w:tc>
          <w:tcPr/>
          <w:p>
            <w:pPr>
              <w:pStyle w:val="Compact"/>
            </w:pPr>
            <w:r>
              <w:t xml:space="preserve">[ADDITIONAL PII CATEGORY]</w:t>
            </w:r>
          </w:p>
        </w:tc>
        <w:tc>
          <w:tcPr/>
          <w:p>
            <w:pPr>
              <w:pStyle w:val="Compact"/>
            </w:pPr>
            <w:r>
              <w:t xml:space="preserve">[BASIS]</w:t>
            </w:r>
          </w:p>
        </w:tc>
        <w:tc>
          <w:tcPr/>
          <w:p>
            <w:pPr>
              <w:pStyle w:val="Compact"/>
            </w:pPr>
            <w:r>
              <w:t xml:space="preserve">[CITATION]</w:t>
            </w:r>
          </w:p>
        </w:tc>
        <w:tc>
          <w:tcPr/>
          <w:p>
            <w:pPr>
              <w:pStyle w:val="Compact"/>
            </w:pPr>
            <w:r>
              <w:t xml:space="preserve">[RETENTION]</w:t>
            </w:r>
          </w:p>
        </w:tc>
        <w:tc>
          <w:tcPr/>
          <w:p>
            <w:pPr>
              <w:pStyle w:val="Compact"/>
            </w:pPr>
            <w:r>
              <w:t xml:space="preserve">[DISPOSAL]</w:t>
            </w:r>
          </w:p>
        </w:tc>
      </w:tr>
    </w:tbl>
    <w:bookmarkEnd w:id="138"/>
    <w:bookmarkStart w:id="139" w:name="sorn-requirements-privacy-act-systems"/>
    <w:p>
      <w:pPr>
        <w:pStyle w:val="Heading2"/>
      </w:pPr>
      <w:r>
        <w:t xml:space="preserve">SORN Requirements (Privacy Act Systems)</w:t>
      </w:r>
    </w:p>
    <w:p>
      <w:pPr>
        <w:pStyle w:val="FirstParagraph"/>
      </w:pPr>
      <w:r>
        <w:t xml:space="preserve">Any system that retrieves PII by a personal identifier (name, SSN, case number)</w:t>
      </w:r>
      <w:r>
        <w:t xml:space="preserve"> </w:t>
      </w:r>
      <w:r>
        <w:t xml:space="preserve">is a</w:t>
      </w:r>
      <w:r>
        <w:t xml:space="preserve"> </w:t>
      </w:r>
      <w:r>
        <w:rPr>
          <w:b/>
          <w:bCs/>
        </w:rPr>
        <w:t xml:space="preserve">system of records</w:t>
      </w:r>
      <w:r>
        <w:t xml:space="preserve"> </w:t>
      </w:r>
      <w:r>
        <w:t xml:space="preserve">under the Privacy Act and requires a published System</w:t>
      </w:r>
      <w:r>
        <w:t xml:space="preserve"> </w:t>
      </w:r>
      <w:r>
        <w:t xml:space="preserve">of Records Notice (SORN).</w:t>
      </w:r>
    </w:p>
    <w:p>
      <w:pPr>
        <w:pStyle w:val="BodyText"/>
      </w:pPr>
      <w:r>
        <w:rPr>
          <w:b/>
          <w:bCs/>
        </w:rPr>
        <w:t xml:space="preserve">SORN Publication Requirements:</w:t>
      </w:r>
    </w:p>
    <w:p>
      <w:pPr>
        <w:pStyle w:val="Compact"/>
        <w:numPr>
          <w:ilvl w:val="0"/>
          <w:numId w:val="1030"/>
        </w:numPr>
      </w:pPr>
      <w:r>
        <w:t xml:space="preserve">Draft SORN reviewed by SAOP and Legal Counsel</w:t>
      </w:r>
    </w:p>
    <w:p>
      <w:pPr>
        <w:pStyle w:val="Compact"/>
        <w:numPr>
          <w:ilvl w:val="0"/>
          <w:numId w:val="1030"/>
        </w:numPr>
      </w:pPr>
      <w:r>
        <w:t xml:space="preserve">SAOP submits to OMB and Congress for the 40-day advance review (OMB Circular A-108); the Federal Register notice carries a 30-day routine-use comment period (5 U.S.C. §552a(e)(11)), with SORN publication itself required under §552a(e)(4)</w:t>
      </w:r>
    </w:p>
    <w:p>
      <w:pPr>
        <w:pStyle w:val="Compact"/>
        <w:numPr>
          <w:ilvl w:val="0"/>
          <w:numId w:val="1030"/>
        </w:numPr>
      </w:pPr>
      <w:r>
        <w:t xml:space="preserve">As agency practice, published in the Federal Register at least</w:t>
      </w:r>
      <w:r>
        <w:t xml:space="preserve"> </w:t>
      </w:r>
      <w:r>
        <w:rPr>
          <w:b/>
          <w:bCs/>
        </w:rPr>
        <w:t xml:space="preserve">30 days before</w:t>
      </w:r>
      <w:r>
        <w:t xml:space="preserve"> </w:t>
      </w:r>
      <w:r>
        <w:t xml:space="preserve">live PII collection begins</w:t>
      </w:r>
    </w:p>
    <w:p>
      <w:pPr>
        <w:pStyle w:val="Compact"/>
        <w:numPr>
          <w:ilvl w:val="0"/>
          <w:numId w:val="1030"/>
        </w:numPr>
      </w:pPr>
      <w:r>
        <w:t xml:space="preserve">SORN updated whenever the system’s purpose, categories of records, or routine</w:t>
      </w:r>
      <w:r>
        <w:t xml:space="preserve"> </w:t>
      </w:r>
      <w:r>
        <w:t xml:space="preserve">uses change materially</w:t>
      </w:r>
    </w:p>
    <w:p>
      <w:pPr>
        <w:pStyle w:val="BlockText"/>
      </w:pPr>
      <w:r>
        <w:t xml:space="preserve">[FILLABLE] Record the SORN reference number and Federal Register citation for</w:t>
      </w:r>
      <w:r>
        <w:t xml:space="preserve"> </w:t>
      </w:r>
      <w:r>
        <w:t xml:space="preserve">each system of records within the authorization boundary. Reference the Agency</w:t>
      </w:r>
      <w:r>
        <w:t xml:space="preserve"> </w:t>
      </w:r>
      <w:r>
        <w:t xml:space="preserve">SORN database at agency.gov/privacy/sorns.html. If a SORN does not yet exist,</w:t>
      </w:r>
      <w:r>
        <w:t xml:space="preserve"> </w:t>
      </w:r>
      <w:r>
        <w:t xml:space="preserve">add a POA&amp;M item with a milestone date no later than 30 days before go-live.</w:t>
      </w:r>
    </w:p>
    <w:tbl>
      <w:tblPr>
        <w:tblStyle w:val="Table"/>
        <w:tblW w:type="pct" w:w="5000"/>
        <w:tblLayout w:type="fixed"/>
        <w:tblLook w:firstRow="1" w:lastRow="0" w:firstColumn="0" w:lastColumn="0" w:noHBand="0" w:noVBand="0" w:val="0020"/>
      </w:tblPr>
      <w:tblGrid>
        <w:gridCol w:w="2043"/>
        <w:gridCol w:w="1277"/>
        <w:gridCol w:w="2214"/>
        <w:gridCol w:w="1277"/>
        <w:gridCol w:w="1107"/>
      </w:tblGrid>
      <w:tr>
        <w:trPr>
          <w:tblHeader w:val="on"/>
        </w:trPr>
        <w:tc>
          <w:tcPr/>
          <w:p>
            <w:pPr>
              <w:pStyle w:val="Compact"/>
            </w:pPr>
            <w:r>
              <w:t xml:space="preserve">System of Records Name</w:t>
            </w:r>
          </w:p>
        </w:tc>
        <w:tc>
          <w:tcPr/>
          <w:p>
            <w:pPr>
              <w:pStyle w:val="Compact"/>
            </w:pPr>
            <w:r>
              <w:t xml:space="preserve">SORN Reference</w:t>
            </w:r>
          </w:p>
        </w:tc>
        <w:tc>
          <w:tcPr/>
          <w:p>
            <w:pPr>
              <w:pStyle w:val="Compact"/>
            </w:pPr>
            <w:r>
              <w:t xml:space="preserve">Federal Register Citation</w:t>
            </w:r>
          </w:p>
        </w:tc>
        <w:tc>
          <w:tcPr/>
          <w:p>
            <w:pPr>
              <w:pStyle w:val="Compact"/>
            </w:pPr>
            <w:r>
              <w:t xml:space="preserve">Date Published</w:t>
            </w:r>
          </w:p>
        </w:tc>
        <w:tc>
          <w:tcPr/>
          <w:p>
            <w:pPr>
              <w:pStyle w:val="Compact"/>
            </w:pPr>
            <w:r>
              <w:t xml:space="preserve">Next Review</w:t>
            </w:r>
          </w:p>
        </w:tc>
      </w:tr>
      <w:tr>
        <w:tc>
          <w:tcPr/>
          <w:p>
            <w:pPr>
              <w:pStyle w:val="Compact"/>
            </w:pPr>
            <w:r>
              <w:t xml:space="preserve">[SYSTEM NAME]</w:t>
            </w:r>
          </w:p>
        </w:tc>
        <w:tc>
          <w:tcPr/>
          <w:p>
            <w:pPr>
              <w:pStyle w:val="Compact"/>
            </w:pPr>
            <w:r>
              <w:t xml:space="preserve">Agency/[NUMBER]</w:t>
            </w:r>
          </w:p>
        </w:tc>
        <w:tc>
          <w:tcPr/>
          <w:p>
            <w:pPr>
              <w:pStyle w:val="Compact"/>
            </w:pPr>
            <w:r>
              <w:t xml:space="preserve">[Vol. FR Page, Date]</w:t>
            </w:r>
          </w:p>
        </w:tc>
        <w:tc>
          <w:tcPr/>
          <w:p>
            <w:pPr>
              <w:pStyle w:val="Compact"/>
            </w:pPr>
            <w:r>
              <w:t xml:space="preserve">[DATE]</w:t>
            </w:r>
          </w:p>
        </w:tc>
        <w:tc>
          <w:tcPr/>
          <w:p>
            <w:pPr>
              <w:pStyle w:val="Compact"/>
            </w:pPr>
            <w:r>
              <w:t xml:space="preserve">[DATE]</w:t>
            </w:r>
          </w:p>
        </w:tc>
      </w:tr>
    </w:tbl>
    <w:p>
      <w:pPr>
        <w:pStyle w:val="BodyText"/>
      </w:pPr>
      <w:r>
        <w:rPr>
          <w:b/>
          <w:bCs/>
        </w:rPr>
        <w:t xml:space="preserve">OMB Circular A-130 Cross-Reference:</w:t>
      </w:r>
      <w:r>
        <w:t xml:space="preserve"> </w:t>
      </w:r>
      <w:r>
        <w:t xml:space="preserve">Section 5 of A-130 requires agencies to</w:t>
      </w:r>
      <w:r>
        <w:t xml:space="preserve"> </w:t>
      </w:r>
      <w:r>
        <w:t xml:space="preserve">maintain an accurate accounting of disclosures and to ensure SORNs reflect all</w:t>
      </w:r>
      <w:r>
        <w:t xml:space="preserve"> </w:t>
      </w:r>
      <w:r>
        <w:t xml:space="preserve">routine uses. The SPO must review SORNs against actual data flows using the</w:t>
      </w:r>
      <w:r>
        <w:t xml:space="preserve"> </w:t>
      </w:r>
      <w:r>
        <w:t xml:space="preserve">data flow map in §8 at each annual privacy review.</w:t>
      </w:r>
    </w:p>
    <w:p>
      <w:r>
        <w:pict>
          <v:rect style="width:0;height:1.5pt" o:hralign="center" o:hrstd="t" o:hr="t"/>
        </w:pict>
      </w:r>
    </w:p>
    <w:bookmarkEnd w:id="139"/>
    <w:bookmarkEnd w:id="140"/>
    <w:bookmarkStart w:id="145" w:name="purpose-specification-pt-3"/>
    <w:p>
      <w:pPr>
        <w:pStyle w:val="Heading1"/>
      </w:pPr>
      <w:r>
        <w:t xml:space="preserve">Purpose Specification (PT-3)</w:t>
      </w:r>
    </w:p>
    <w:bookmarkStart w:id="141" w:name="control-requirement-2"/>
    <w:p>
      <w:pPr>
        <w:pStyle w:val="Heading2"/>
      </w:pPr>
      <w:r>
        <w:t xml:space="preserve">Control Requirement</w:t>
      </w:r>
    </w:p>
    <w:p>
      <w:pPr>
        <w:pStyle w:val="FirstParagraph"/>
      </w:pPr>
      <w:r>
        <w:t xml:space="preserve">PT-3 requires the organization to identify and document the specific purpose(s)</w:t>
      </w:r>
      <w:r>
        <w:t xml:space="preserve"> </w:t>
      </w:r>
      <w:r>
        <w:t xml:space="preserve">for which PII is collected and used. Collection of PII must be limited to the</w:t>
      </w:r>
      <w:r>
        <w:t xml:space="preserve"> </w:t>
      </w:r>
      <w:r>
        <w:t xml:space="preserve">identified purpose(s), and any use of PII for secondary purposes must be</w:t>
      </w:r>
      <w:r>
        <w:t xml:space="preserve"> </w:t>
      </w:r>
      <w:r>
        <w:t xml:space="preserve">explicitly authorized.</w:t>
      </w:r>
    </w:p>
    <w:bookmarkEnd w:id="141"/>
    <w:bookmarkStart w:id="142" w:name="purpose-specification-matrix"/>
    <w:p>
      <w:pPr>
        <w:pStyle w:val="Heading2"/>
      </w:pPr>
      <w:r>
        <w:t xml:space="preserve">Purpose Specification Matrix</w:t>
      </w:r>
    </w:p>
    <w:p>
      <w:pPr>
        <w:pStyle w:val="BlockText"/>
      </w:pPr>
      <w:r>
        <w:t xml:space="preserve">[FILLABLE] Complete the following table for each PII field collected by the</w:t>
      </w:r>
      <w:r>
        <w:t xml:space="preserve"> </w:t>
      </w:r>
      <w:r>
        <w:t xml:space="preserve">system.</w:t>
      </w:r>
      <w:r>
        <w:t xml:space="preserve"> </w:t>
      </w:r>
      <w:r>
        <w:t xml:space="preserve">“Secondary Use Permitted”</w:t>
      </w:r>
      <w:r>
        <w:t xml:space="preserve"> </w:t>
      </w:r>
      <w:r>
        <w:t xml:space="preserve">means a use beyond the original collection</w:t>
      </w:r>
      <w:r>
        <w:t xml:space="preserve"> </w:t>
      </w:r>
      <w:r>
        <w:t xml:space="preserve">purpose that is authorized by the legal authority in §3 or a Privacy Act</w:t>
      </w:r>
      <w:r>
        <w:t xml:space="preserve"> </w:t>
      </w:r>
      <w:r>
        <w:t xml:space="preserve">routine use. Uses not listed here require a new PIA and, for Privacy Act</w:t>
      </w:r>
      <w:r>
        <w:t xml:space="preserve"> </w:t>
      </w:r>
      <w:r>
        <w:t xml:space="preserve">systems, a SORN amendment.</w:t>
      </w:r>
    </w:p>
    <w:tbl>
      <w:tblPr>
        <w:tblStyle w:val="Table"/>
        <w:tblW w:type="pct" w:w="5000"/>
        <w:tblLayout w:type="fixed"/>
        <w:tblLook w:firstRow="1" w:lastRow="0" w:firstColumn="0" w:lastColumn="0" w:noHBand="0" w:noVBand="0" w:val="0020"/>
      </w:tblPr>
      <w:tblGrid>
        <w:gridCol w:w="837"/>
        <w:gridCol w:w="1446"/>
        <w:gridCol w:w="1903"/>
        <w:gridCol w:w="2132"/>
        <w:gridCol w:w="1599"/>
      </w:tblGrid>
      <w:tr>
        <w:trPr>
          <w:tblHeader w:val="on"/>
        </w:trPr>
        <w:tc>
          <w:tcPr/>
          <w:p>
            <w:pPr>
              <w:pStyle w:val="Compact"/>
            </w:pPr>
            <w:r>
              <w:t xml:space="preserve">PII Field</w:t>
            </w:r>
          </w:p>
        </w:tc>
        <w:tc>
          <w:tcPr/>
          <w:p>
            <w:pPr>
              <w:pStyle w:val="Compact"/>
            </w:pPr>
            <w:r>
              <w:t xml:space="preserve">Collection Purpose</w:t>
            </w:r>
          </w:p>
        </w:tc>
        <w:tc>
          <w:tcPr/>
          <w:p>
            <w:pPr>
              <w:pStyle w:val="Compact"/>
            </w:pPr>
            <w:r>
              <w:t xml:space="preserve">Secondary Use Permitted?</w:t>
            </w:r>
          </w:p>
        </w:tc>
        <w:tc>
          <w:tcPr/>
          <w:p>
            <w:pPr>
              <w:pStyle w:val="Compact"/>
            </w:pPr>
            <w:r>
              <w:t xml:space="preserve">Secondary Use Authorization</w:t>
            </w:r>
          </w:p>
        </w:tc>
        <w:tc>
          <w:tcPr/>
          <w:p>
            <w:pPr>
              <w:pStyle w:val="Compact"/>
            </w:pPr>
            <w:r>
              <w:t xml:space="preserve">Minimization Action</w:t>
            </w:r>
          </w:p>
        </w:tc>
      </w:tr>
      <w:tr>
        <w:tc>
          <w:tcPr/>
          <w:p>
            <w:pPr>
              <w:pStyle w:val="Compact"/>
            </w:pPr>
            <w:r>
              <w:t xml:space="preserve">SSN</w:t>
            </w:r>
          </w:p>
        </w:tc>
        <w:tc>
          <w:tcPr/>
          <w:p>
            <w:pPr>
              <w:pStyle w:val="Compact"/>
            </w:pPr>
            <w:r>
              <w:t xml:space="preserve">Unique beneficiary identification</w:t>
            </w:r>
          </w:p>
        </w:tc>
        <w:tc>
          <w:tcPr/>
          <w:p>
            <w:pPr>
              <w:pStyle w:val="Compact"/>
            </w:pPr>
            <w:r>
              <w:t xml:space="preserve">No — primary identifier only</w:t>
            </w:r>
          </w:p>
        </w:tc>
        <w:tc>
          <w:tcPr/>
          <w:p>
            <w:pPr>
              <w:pStyle w:val="Compact"/>
            </w:pPr>
            <w:r>
              <w:t xml:space="preserve">N/A</w:t>
            </w:r>
          </w:p>
        </w:tc>
        <w:tc>
          <w:tcPr/>
          <w:p>
            <w:pPr>
              <w:pStyle w:val="Compact"/>
            </w:pPr>
            <w:r>
              <w:t xml:space="preserve">Mask to last 4 digits in UI; full SSN stored encrypted only</w:t>
            </w:r>
          </w:p>
        </w:tc>
      </w:tr>
      <w:tr>
        <w:tc>
          <w:tcPr/>
          <w:p>
            <w:pPr>
              <w:pStyle w:val="Compact"/>
            </w:pPr>
            <w:r>
              <w:t xml:space="preserve">Name</w:t>
            </w:r>
          </w:p>
        </w:tc>
        <w:tc>
          <w:tcPr/>
          <w:p>
            <w:pPr>
              <w:pStyle w:val="Compact"/>
            </w:pPr>
            <w:r>
              <w:t xml:space="preserve">Beneficiary identification and correspondence</w:t>
            </w:r>
          </w:p>
        </w:tc>
        <w:tc>
          <w:tcPr/>
          <w:p>
            <w:pPr>
              <w:pStyle w:val="Compact"/>
            </w:pPr>
            <w:r>
              <w:t xml:space="preserve">Yes — cross-agency identity verification</w:t>
            </w:r>
          </w:p>
        </w:tc>
        <w:tc>
          <w:tcPr/>
          <w:p>
            <w:pPr>
              <w:pStyle w:val="Compact"/>
            </w:pPr>
            <w:r>
              <w:t xml:space="preserve">Data-sharing agreement (DSA) with [AGENCY] per Privacy Act routine use [N]</w:t>
            </w:r>
          </w:p>
        </w:tc>
        <w:tc>
          <w:tcPr/>
          <w:p>
            <w:pPr>
              <w:pStyle w:val="Compact"/>
            </w:pPr>
            <w:r>
              <w:t xml:space="preserve">Truncate to first name in non-case contexts</w:t>
            </w:r>
          </w:p>
        </w:tc>
      </w:tr>
      <w:tr>
        <w:tc>
          <w:tcPr/>
          <w:p>
            <w:pPr>
              <w:pStyle w:val="Compact"/>
            </w:pPr>
            <w:r>
              <w:t xml:space="preserve">Date of Birth</w:t>
            </w:r>
          </w:p>
        </w:tc>
        <w:tc>
          <w:tcPr/>
          <w:p>
            <w:pPr>
              <w:pStyle w:val="Compact"/>
            </w:pPr>
            <w:r>
              <w:t xml:space="preserve">Age eligibility verification</w:t>
            </w:r>
          </w:p>
        </w:tc>
        <w:tc>
          <w:tcPr/>
          <w:p>
            <w:pPr>
              <w:pStyle w:val="Compact"/>
            </w:pPr>
            <w:r>
              <w:t xml:space="preserve">Yes — fraud detection analytics</w:t>
            </w:r>
          </w:p>
        </w:tc>
        <w:tc>
          <w:tcPr/>
          <w:p>
            <w:pPr>
              <w:pStyle w:val="Compact"/>
            </w:pPr>
            <w:r>
              <w:t xml:space="preserve">Same legal authority; de-identified for analytics</w:t>
            </w:r>
          </w:p>
        </w:tc>
        <w:tc>
          <w:tcPr/>
          <w:p>
            <w:pPr>
              <w:pStyle w:val="Compact"/>
            </w:pPr>
            <w:r>
              <w:t xml:space="preserve">Do not expose in API responses unless required</w:t>
            </w:r>
          </w:p>
        </w:tc>
      </w:tr>
      <w:tr>
        <w:tc>
          <w:tcPr/>
          <w:p>
            <w:pPr>
              <w:pStyle w:val="Compact"/>
            </w:pPr>
            <w:r>
              <w:t xml:space="preserve">Medical records</w:t>
            </w:r>
          </w:p>
        </w:tc>
        <w:tc>
          <w:tcPr/>
          <w:p>
            <w:pPr>
              <w:pStyle w:val="Compact"/>
            </w:pPr>
            <w:r>
              <w:t xml:space="preserve">Disability determination</w:t>
            </w:r>
          </w:p>
        </w:tc>
        <w:tc>
          <w:tcPr/>
          <w:p>
            <w:pPr>
              <w:pStyle w:val="Compact"/>
            </w:pPr>
            <w:r>
              <w:t xml:space="preserve">No — determination purpose only</w:t>
            </w:r>
          </w:p>
        </w:tc>
        <w:tc>
          <w:tcPr/>
          <w:p>
            <w:pPr>
              <w:pStyle w:val="Compact"/>
            </w:pPr>
            <w:r>
              <w:t xml:space="preserve">N/A</w:t>
            </w:r>
          </w:p>
        </w:tc>
        <w:tc>
          <w:tcPr/>
          <w:p>
            <w:pPr>
              <w:pStyle w:val="Compact"/>
            </w:pPr>
            <w:r>
              <w:t xml:space="preserve">Restrict access to adjudicators; Purview PHI label</w:t>
            </w:r>
          </w:p>
        </w:tc>
      </w:tr>
      <w:tr>
        <w:tc>
          <w:tcPr/>
          <w:p>
            <w:pPr>
              <w:pStyle w:val="Compact"/>
            </w:pPr>
            <w:r>
              <w:t xml:space="preserve">Email address</w:t>
            </w:r>
          </w:p>
        </w:tc>
        <w:tc>
          <w:tcPr/>
          <w:p>
            <w:pPr>
              <w:pStyle w:val="Compact"/>
            </w:pPr>
            <w:r>
              <w:t xml:space="preserve">Electronic notification delivery</w:t>
            </w:r>
          </w:p>
        </w:tc>
        <w:tc>
          <w:tcPr/>
          <w:p>
            <w:pPr>
              <w:pStyle w:val="Compact"/>
            </w:pPr>
            <w:r>
              <w:t xml:space="preserve">Yes — optional account alerts</w:t>
            </w:r>
          </w:p>
        </w:tc>
        <w:tc>
          <w:tcPr/>
          <w:p>
            <w:pPr>
              <w:pStyle w:val="Compact"/>
            </w:pPr>
            <w:r>
              <w:t xml:space="preserve">Voluntary consent at enrollment</w:t>
            </w:r>
          </w:p>
        </w:tc>
        <w:tc>
          <w:tcPr/>
          <w:p>
            <w:pPr>
              <w:pStyle w:val="Compact"/>
            </w:pPr>
            <w:r>
              <w:t xml:space="preserve">Allow user withdrawal at any time</w:t>
            </w:r>
          </w:p>
        </w:tc>
      </w:tr>
      <w:tr>
        <w:tc>
          <w:tcPr/>
          <w:p>
            <w:pPr>
              <w:pStyle w:val="Compact"/>
            </w:pPr>
            <w:r>
              <w:t xml:space="preserve">Financial account (direct deposit)</w:t>
            </w:r>
          </w:p>
        </w:tc>
        <w:tc>
          <w:tcPr/>
          <w:p>
            <w:pPr>
              <w:pStyle w:val="Compact"/>
            </w:pPr>
            <w:r>
              <w:t xml:space="preserve">Payment disbursement</w:t>
            </w:r>
          </w:p>
        </w:tc>
        <w:tc>
          <w:tcPr/>
          <w:p>
            <w:pPr>
              <w:pStyle w:val="Compact"/>
            </w:pPr>
            <w:r>
              <w:t xml:space="preserve">No — payment only</w:t>
            </w:r>
          </w:p>
        </w:tc>
        <w:tc>
          <w:tcPr/>
          <w:p>
            <w:pPr>
              <w:pStyle w:val="Compact"/>
            </w:pPr>
            <w:r>
              <w:t xml:space="preserve">N/A</w:t>
            </w:r>
          </w:p>
        </w:tc>
        <w:tc>
          <w:tcPr/>
          <w:p>
            <w:pPr>
              <w:pStyle w:val="Compact"/>
            </w:pPr>
            <w:r>
              <w:t xml:space="preserve">Display masked; never log in plain text</w:t>
            </w:r>
          </w:p>
        </w:tc>
      </w:tr>
      <w:tr>
        <w:tc>
          <w:tcPr/>
          <w:p>
            <w:pPr>
              <w:pStyle w:val="Compact"/>
            </w:pPr>
            <w:r>
              <w:t xml:space="preserve">[PII FIELD]</w:t>
            </w:r>
          </w:p>
        </w:tc>
        <w:tc>
          <w:tcPr/>
          <w:p>
            <w:pPr>
              <w:pStyle w:val="Compact"/>
            </w:pPr>
            <w:r>
              <w:t xml:space="preserve">[PURPOSE]</w:t>
            </w:r>
          </w:p>
        </w:tc>
        <w:tc>
          <w:tcPr/>
          <w:p>
            <w:pPr>
              <w:pStyle w:val="Compact"/>
            </w:pPr>
            <w:r>
              <w:t xml:space="preserve">[YES/NO]</w:t>
            </w:r>
          </w:p>
        </w:tc>
        <w:tc>
          <w:tcPr/>
          <w:p>
            <w:pPr>
              <w:pStyle w:val="Compact"/>
            </w:pPr>
            <w:r>
              <w:t xml:space="preserve">[AUTHORIZATION]</w:t>
            </w:r>
          </w:p>
        </w:tc>
        <w:tc>
          <w:tcPr/>
          <w:p>
            <w:pPr>
              <w:pStyle w:val="Compact"/>
            </w:pPr>
            <w:r>
              <w:t xml:space="preserve">[ACTION]</w:t>
            </w:r>
          </w:p>
        </w:tc>
      </w:tr>
    </w:tbl>
    <w:bookmarkEnd w:id="142"/>
    <w:bookmarkStart w:id="143" w:name="purview-data-map-integration"/>
    <w:p>
      <w:pPr>
        <w:pStyle w:val="Heading2"/>
      </w:pPr>
      <w:r>
        <w:t xml:space="preserve">Purview Data Map Integration</w:t>
      </w:r>
    </w:p>
    <w:p>
      <w:pPr>
        <w:pStyle w:val="FirstParagraph"/>
      </w:pPr>
      <w:r>
        <w:t xml:space="preserve">PT-3 purpose fields map to Microsoft Purview Data Map custom attributes as</w:t>
      </w:r>
      <w:r>
        <w:t xml:space="preserve"> </w:t>
      </w:r>
      <w:r>
        <w:t xml:space="preserve">follows. This integration (established in Vol III Book 05) enables automated enforcement</w:t>
      </w:r>
      <w:r>
        <w:t xml:space="preserve"> </w:t>
      </w:r>
      <w:r>
        <w:t xml:space="preserve">of purpose limitations at the data asset level:</w:t>
      </w:r>
    </w:p>
    <w:tbl>
      <w:tblPr>
        <w:tblStyle w:val="Table"/>
        <w:tblW w:type="pct" w:w="5000"/>
        <w:tblLayout w:type="fixed"/>
        <w:tblLook w:firstRow="1" w:lastRow="0" w:firstColumn="0" w:lastColumn="0" w:noHBand="0" w:noVBand="0" w:val="0020"/>
      </w:tblPr>
      <w:tblGrid>
        <w:gridCol w:w="1476"/>
        <w:gridCol w:w="3490"/>
        <w:gridCol w:w="2953"/>
      </w:tblGrid>
      <w:tr>
        <w:trPr>
          <w:tblHeader w:val="on"/>
        </w:trPr>
        <w:tc>
          <w:tcPr/>
          <w:p>
            <w:pPr>
              <w:pStyle w:val="Compact"/>
            </w:pPr>
            <w:r>
              <w:t xml:space="preserve">PT-3 Field</w:t>
            </w:r>
          </w:p>
        </w:tc>
        <w:tc>
          <w:tcPr/>
          <w:p>
            <w:pPr>
              <w:pStyle w:val="Compact"/>
            </w:pPr>
            <w:r>
              <w:t xml:space="preserve">Purview Custom Attribute</w:t>
            </w:r>
          </w:p>
        </w:tc>
        <w:tc>
          <w:tcPr/>
          <w:p>
            <w:pPr>
              <w:pStyle w:val="Compact"/>
            </w:pPr>
            <w:r>
              <w:t xml:space="preserve">Enforcement Mechanism</w:t>
            </w:r>
          </w:p>
        </w:tc>
      </w:tr>
      <w:tr>
        <w:tc>
          <w:tcPr/>
          <w:p>
            <w:pPr>
              <w:pStyle w:val="Compact"/>
            </w:pPr>
            <w:r>
              <w:t xml:space="preserve">Collection Purpose</w:t>
            </w:r>
          </w:p>
        </w:tc>
        <w:tc>
          <w:tcPr/>
          <w:p>
            <w:pPr>
              <w:pStyle w:val="Compact"/>
            </w:pPr>
            <w:r>
              <w:rPr>
                <w:rStyle w:val="VerbatimChar"/>
              </w:rPr>
              <w:t xml:space="preserve">pii_collection_purpose</w:t>
            </w:r>
          </w:p>
        </w:tc>
        <w:tc>
          <w:tcPr/>
          <w:p>
            <w:pPr>
              <w:pStyle w:val="Compact"/>
            </w:pPr>
            <w:r>
              <w:t xml:space="preserve">Data asset tag; DLP policy condition</w:t>
            </w:r>
          </w:p>
        </w:tc>
      </w:tr>
      <w:tr>
        <w:tc>
          <w:tcPr/>
          <w:p>
            <w:pPr>
              <w:pStyle w:val="Compact"/>
            </w:pPr>
            <w:r>
              <w:t xml:space="preserve">Secondary Use Permitted</w:t>
            </w:r>
          </w:p>
        </w:tc>
        <w:tc>
          <w:tcPr/>
          <w:p>
            <w:pPr>
              <w:pStyle w:val="Compact"/>
            </w:pPr>
            <w:r>
              <w:rPr>
                <w:rStyle w:val="VerbatimChar"/>
              </w:rPr>
              <w:t xml:space="preserve">pii_secondary_use_authorized</w:t>
            </w:r>
          </w:p>
        </w:tc>
        <w:tc>
          <w:tcPr/>
          <w:p>
            <w:pPr>
              <w:pStyle w:val="Compact"/>
            </w:pPr>
            <w:r>
              <w:t xml:space="preserve">Boolean; triggers alert if data crosses boundary without flag</w:t>
            </w:r>
          </w:p>
        </w:tc>
      </w:tr>
      <w:tr>
        <w:tc>
          <w:tcPr/>
          <w:p>
            <w:pPr>
              <w:pStyle w:val="Compact"/>
            </w:pPr>
            <w:r>
              <w:t xml:space="preserve">Minimization Action</w:t>
            </w:r>
          </w:p>
        </w:tc>
        <w:tc>
          <w:tcPr/>
          <w:p>
            <w:pPr>
              <w:pStyle w:val="Compact"/>
            </w:pPr>
            <w:r>
              <w:rPr>
                <w:rStyle w:val="VerbatimChar"/>
              </w:rPr>
              <w:t xml:space="preserve">pii_minimization_policy</w:t>
            </w:r>
          </w:p>
        </w:tc>
        <w:tc>
          <w:tcPr/>
          <w:p>
            <w:pPr>
              <w:pStyle w:val="Compact"/>
            </w:pPr>
            <w:r>
              <w:t xml:space="preserve">Linked to Information Protection label</w:t>
            </w:r>
          </w:p>
        </w:tc>
      </w:tr>
      <w:tr>
        <w:tc>
          <w:tcPr/>
          <w:p>
            <w:pPr>
              <w:pStyle w:val="Compact"/>
            </w:pPr>
            <w:r>
              <w:t xml:space="preserve">Legal Authority</w:t>
            </w:r>
          </w:p>
        </w:tc>
        <w:tc>
          <w:tcPr/>
          <w:p>
            <w:pPr>
              <w:pStyle w:val="Compact"/>
            </w:pPr>
            <w:r>
              <w:rPr>
                <w:rStyle w:val="VerbatimChar"/>
              </w:rPr>
              <w:t xml:space="preserve">pii_legal_authority</w:t>
            </w:r>
          </w:p>
        </w:tc>
        <w:tc>
          <w:tcPr/>
          <w:p>
            <w:pPr>
              <w:pStyle w:val="Compact"/>
            </w:pPr>
            <w:r>
              <w:t xml:space="preserve">Audit trail attribute; populated from §3 matrix</w:t>
            </w:r>
          </w:p>
        </w:tc>
      </w:tr>
    </w:tbl>
    <w:bookmarkEnd w:id="143"/>
    <w:bookmarkStart w:id="144" w:name="X0464c49075382f23843e331b3d401f0e11f3493"/>
    <w:p>
      <w:pPr>
        <w:pStyle w:val="Heading2"/>
      </w:pPr>
      <w:r>
        <w:t xml:space="preserve">Purpose Limitation Review Checklist (Annual — PT-3)</w:t>
      </w:r>
    </w:p>
    <w:p>
      <w:pPr>
        <w:pStyle w:val="BlockText"/>
      </w:pPr>
      <w:r>
        <w:t xml:space="preserve">[FILLABLE] Complete this checklist at each annual privacy review. SAOP sign-</w:t>
      </w:r>
      <w:r>
        <w:t xml:space="preserve"> </w:t>
      </w:r>
      <w:r>
        <w:t xml:space="preserve">off is required before the checklist is filed in the ATO package.</w:t>
      </w:r>
    </w:p>
    <w:p>
      <w:pPr>
        <w:pStyle w:val="Compact"/>
        <w:numPr>
          <w:ilvl w:val="0"/>
          <w:numId w:val="1031"/>
        </w:numPr>
      </w:pPr>
      <w:r>
        <w:t xml:space="preserve">All PII fields in the system data dictionary appear in the PT-3 matrix above</w:t>
      </w:r>
    </w:p>
    <w:p>
      <w:pPr>
        <w:pStyle w:val="Compact"/>
        <w:numPr>
          <w:ilvl w:val="0"/>
          <w:numId w:val="1032"/>
        </w:numPr>
      </w:pPr>
      <w:r>
        <w:t xml:space="preserve">No PII field is used for a purpose not listed in the matrix</w:t>
      </w:r>
    </w:p>
    <w:p>
      <w:pPr>
        <w:pStyle w:val="Compact"/>
        <w:numPr>
          <w:ilvl w:val="0"/>
          <w:numId w:val="1033"/>
        </w:numPr>
      </w:pPr>
      <w:r>
        <w:t xml:space="preserve">Secondary use authorizations have been verified against current SORNs and DSAs</w:t>
      </w:r>
    </w:p>
    <w:p>
      <w:pPr>
        <w:pStyle w:val="Compact"/>
        <w:numPr>
          <w:ilvl w:val="0"/>
          <w:numId w:val="1034"/>
        </w:numPr>
      </w:pPr>
      <w:r>
        <w:t xml:space="preserve">Purview custom attributes match the current PT-3 matrix (verified by DevSecOps)</w:t>
      </w:r>
    </w:p>
    <w:p>
      <w:pPr>
        <w:pStyle w:val="Compact"/>
        <w:numPr>
          <w:ilvl w:val="0"/>
          <w:numId w:val="1035"/>
        </w:numPr>
      </w:pPr>
      <w:r>
        <w:t xml:space="preserve">Any new PII fields added since last review have been assessed for purpose and minimization</w:t>
      </w:r>
    </w:p>
    <w:p>
      <w:pPr>
        <w:pStyle w:val="Compact"/>
        <w:numPr>
          <w:ilvl w:val="0"/>
          <w:numId w:val="1036"/>
        </w:numPr>
      </w:pPr>
      <w:r>
        <w:t xml:space="preserve">Data flow map (§8) reviewed for undocumented flows that would constitute unauthorized secondary use</w:t>
      </w:r>
    </w:p>
    <w:p>
      <w:pPr>
        <w:pStyle w:val="Compact"/>
        <w:numPr>
          <w:ilvl w:val="0"/>
          <w:numId w:val="1037"/>
        </w:numPr>
      </w:pPr>
      <w:r>
        <w:t xml:space="preserve">SAOP has reviewed and signed this checklist: [NAME] / [DATE]</w:t>
      </w:r>
    </w:p>
    <w:p>
      <w:r>
        <w:pict>
          <v:rect style="width:0;height:1.5pt" o:hralign="center" o:hrstd="t" o:hr="t"/>
        </w:pict>
      </w:r>
    </w:p>
    <w:bookmarkEnd w:id="144"/>
    <w:bookmarkEnd w:id="145"/>
    <w:bookmarkStart w:id="150" w:name="consent-requirements-pt-4"/>
    <w:p>
      <w:pPr>
        <w:pStyle w:val="Heading1"/>
      </w:pPr>
      <w:r>
        <w:t xml:space="preserve">Consent Requirements (PT-4)</w:t>
      </w:r>
    </w:p>
    <w:bookmarkStart w:id="146" w:name="control-requirement-3"/>
    <w:p>
      <w:pPr>
        <w:pStyle w:val="Heading2"/>
      </w:pPr>
      <w:r>
        <w:t xml:space="preserve">Control Requirement</w:t>
      </w:r>
    </w:p>
    <w:p>
      <w:pPr>
        <w:pStyle w:val="FirstParagraph"/>
      </w:pPr>
      <w:r>
        <w:t xml:space="preserve">PT-4 requires the organization to implement consent mechanisms that provide</w:t>
      </w:r>
      <w:r>
        <w:t xml:space="preserve"> </w:t>
      </w:r>
      <w:r>
        <w:t xml:space="preserve">individuals with the opportunity to consent to the collection and use of their</w:t>
      </w:r>
      <w:r>
        <w:t xml:space="preserve"> </w:t>
      </w:r>
      <w:r>
        <w:t xml:space="preserve">PII. For federal systems, many collections are authorized by statute rather</w:t>
      </w:r>
      <w:r>
        <w:t xml:space="preserve"> </w:t>
      </w:r>
      <w:r>
        <w:t xml:space="preserve">than consent; PT-4 requires the agency to explicitly distinguish the two cases.</w:t>
      </w:r>
    </w:p>
    <w:bookmarkEnd w:id="146"/>
    <w:bookmarkStart w:id="147" w:name="federal-consent-vs.-statutory-authority"/>
    <w:p>
      <w:pPr>
        <w:pStyle w:val="Heading2"/>
      </w:pPr>
      <w:r>
        <w:t xml:space="preserve">Federal Consent vs. Statutory Authority</w:t>
      </w:r>
    </w:p>
    <w:p>
      <w:pPr>
        <w:pStyle w:val="FirstParagraph"/>
      </w:pPr>
      <w:r>
        <w:rPr>
          <w:b/>
          <w:bCs/>
        </w:rPr>
        <w:t xml:space="preserve">Key Principle:</w:t>
      </w:r>
      <w:r>
        <w:t xml:space="preserve"> </w:t>
      </w:r>
      <w:r>
        <w:t xml:space="preserve">Federal agencies generally do not rely on consent as the</w:t>
      </w:r>
      <w:r>
        <w:t xml:space="preserve"> </w:t>
      </w:r>
      <w:r>
        <w:t xml:space="preserve">legal basis for PII collection. When a statute authorizes collection, consent</w:t>
      </w:r>
      <w:r>
        <w:t xml:space="preserve"> </w:t>
      </w:r>
      <w:r>
        <w:t xml:space="preserve">is not required — but notice is still required (PT-5). Consent applies when:</w:t>
      </w:r>
    </w:p>
    <w:p>
      <w:pPr>
        <w:pStyle w:val="Compact"/>
        <w:numPr>
          <w:ilvl w:val="0"/>
          <w:numId w:val="1038"/>
        </w:numPr>
      </w:pPr>
      <w:r>
        <w:t xml:space="preserve">Collection is</w:t>
      </w:r>
      <w:r>
        <w:t xml:space="preserve"> </w:t>
      </w:r>
      <w:r>
        <w:rPr>
          <w:i/>
          <w:iCs/>
        </w:rPr>
        <w:t xml:space="preserve">voluntary</w:t>
      </w:r>
      <w:r>
        <w:t xml:space="preserve"> </w:t>
      </w:r>
      <w:r>
        <w:t xml:space="preserve">(e.g., email address for optional notifications)</w:t>
      </w:r>
    </w:p>
    <w:p>
      <w:pPr>
        <w:pStyle w:val="Compact"/>
        <w:numPr>
          <w:ilvl w:val="0"/>
          <w:numId w:val="1038"/>
        </w:numPr>
      </w:pPr>
      <w:r>
        <w:t xml:space="preserve">A secondary use requires individual authorization beyond the original statutory basis</w:t>
      </w:r>
    </w:p>
    <w:p>
      <w:pPr>
        <w:pStyle w:val="Compact"/>
        <w:numPr>
          <w:ilvl w:val="0"/>
          <w:numId w:val="1038"/>
        </w:numPr>
      </w:pPr>
      <w:r>
        <w:t xml:space="preserve">A web feature involves tracking technologies (cookies, analytics) subject to</w:t>
      </w:r>
      <w:r>
        <w:t xml:space="preserve"> </w:t>
      </w:r>
      <w:r>
        <w:t xml:space="preserve">OMB M-10-22 and the E-Gov Act</w:t>
      </w:r>
    </w:p>
    <w:bookmarkEnd w:id="147"/>
    <w:bookmarkStart w:id="148" w:name="consent-mechanism-matrix"/>
    <w:p>
      <w:pPr>
        <w:pStyle w:val="Heading2"/>
      </w:pPr>
      <w:r>
        <w:t xml:space="preserve">Consent Mechanism Matrix</w:t>
      </w:r>
    </w:p>
    <w:p>
      <w:pPr>
        <w:pStyle w:val="BlockText"/>
      </w:pPr>
      <w:r>
        <w:t xml:space="preserve">[FILLABLE] For each data source and interaction type, document whether consent</w:t>
      </w:r>
      <w:r>
        <w:t xml:space="preserve"> </w:t>
      </w:r>
      <w:r>
        <w:t xml:space="preserve">is required, the mechanism used, and the withdrawal process. Column</w:t>
      </w:r>
      <w:r>
        <w:t xml:space="preserve"> </w:t>
      </w:r>
      <w:r>
        <w:t xml:space="preserve">“Purview</w:t>
      </w:r>
      <w:r>
        <w:t xml:space="preserve"> </w:t>
      </w:r>
      <w:r>
        <w:t xml:space="preserve">Label”</w:t>
      </w:r>
      <w:r>
        <w:t xml:space="preserve"> </w:t>
      </w:r>
      <w:r>
        <w:t xml:space="preserve">references the sensitivity label applied in Vol III Book 05.</w:t>
      </w:r>
    </w:p>
    <w:tbl>
      <w:tblPr>
        <w:tblStyle w:val="Table"/>
        <w:tblW w:type="pct" w:w="5000"/>
        <w:tblLayout w:type="fixed"/>
        <w:tblLook w:firstRow="1" w:lastRow="0" w:firstColumn="0" w:lastColumn="0" w:noHBand="0" w:noVBand="0" w:val="0020"/>
      </w:tblPr>
      <w:tblGrid>
        <w:gridCol w:w="785"/>
        <w:gridCol w:w="1112"/>
        <w:gridCol w:w="1374"/>
        <w:gridCol w:w="1178"/>
        <w:gridCol w:w="1243"/>
        <w:gridCol w:w="1243"/>
        <w:gridCol w:w="981"/>
      </w:tblGrid>
      <w:tr>
        <w:trPr>
          <w:tblHeader w:val="on"/>
        </w:trPr>
        <w:tc>
          <w:tcPr/>
          <w:p>
            <w:pPr>
              <w:pStyle w:val="Compact"/>
            </w:pPr>
            <w:r>
              <w:t xml:space="preserve">Data Source</w:t>
            </w:r>
          </w:p>
        </w:tc>
        <w:tc>
          <w:tcPr/>
          <w:p>
            <w:pPr>
              <w:pStyle w:val="Compact"/>
            </w:pPr>
            <w:r>
              <w:t xml:space="preserve">Interaction Type</w:t>
            </w:r>
          </w:p>
        </w:tc>
        <w:tc>
          <w:tcPr/>
          <w:p>
            <w:pPr>
              <w:pStyle w:val="Compact"/>
            </w:pPr>
            <w:r>
              <w:t xml:space="preserve">Statutory Authority?</w:t>
            </w:r>
          </w:p>
        </w:tc>
        <w:tc>
          <w:tcPr/>
          <w:p>
            <w:pPr>
              <w:pStyle w:val="Compact"/>
            </w:pPr>
            <w:r>
              <w:t xml:space="preserve">Consent Required?</w:t>
            </w:r>
          </w:p>
        </w:tc>
        <w:tc>
          <w:tcPr/>
          <w:p>
            <w:pPr>
              <w:pStyle w:val="Compact"/>
            </w:pPr>
            <w:r>
              <w:t xml:space="preserve">Consent Mechanism</w:t>
            </w:r>
          </w:p>
        </w:tc>
        <w:tc>
          <w:tcPr/>
          <w:p>
            <w:pPr>
              <w:pStyle w:val="Compact"/>
            </w:pPr>
            <w:r>
              <w:t xml:space="preserve">Withdrawal Process</w:t>
            </w:r>
          </w:p>
        </w:tc>
        <w:tc>
          <w:tcPr/>
          <w:p>
            <w:pPr>
              <w:pStyle w:val="Compact"/>
            </w:pPr>
            <w:r>
              <w:t xml:space="preserve">Purview Label</w:t>
            </w:r>
          </w:p>
        </w:tc>
      </w:tr>
      <w:tr>
        <w:tc>
          <w:tcPr/>
          <w:p>
            <w:pPr>
              <w:pStyle w:val="Compact"/>
            </w:pPr>
            <w:r>
              <w:t xml:space="preserve">Citizen portal — online application</w:t>
            </w:r>
          </w:p>
        </w:tc>
        <w:tc>
          <w:tcPr/>
          <w:p>
            <w:pPr>
              <w:pStyle w:val="Compact"/>
            </w:pPr>
            <w:r>
              <w:t xml:space="preserve">Statutory PII collection</w:t>
            </w:r>
          </w:p>
        </w:tc>
        <w:tc>
          <w:tcPr/>
          <w:p>
            <w:pPr>
              <w:pStyle w:val="Compact"/>
            </w:pPr>
            <w:r>
              <w:t xml:space="preserve">Yes — the agency’s enabling statute</w:t>
            </w:r>
          </w:p>
        </w:tc>
        <w:tc>
          <w:tcPr/>
          <w:p>
            <w:pPr>
              <w:pStyle w:val="Compact"/>
            </w:pPr>
            <w:r>
              <w:t xml:space="preserve">No — notice only (PT-5)</w:t>
            </w:r>
          </w:p>
        </w:tc>
        <w:tc>
          <w:tcPr/>
          <w:p>
            <w:pPr>
              <w:pStyle w:val="Compact"/>
            </w:pPr>
            <w:r>
              <w:t xml:space="preserve">Privacy notice displayed at form entry</w:t>
            </w:r>
          </w:p>
        </w:tc>
        <w:tc>
          <w:tcPr/>
          <w:p>
            <w:pPr>
              <w:pStyle w:val="Compact"/>
            </w:pPr>
            <w:r>
              <w:t xml:space="preserve">N/A</w:t>
            </w:r>
          </w:p>
        </w:tc>
        <w:tc>
          <w:tcPr/>
          <w:p>
            <w:pPr>
              <w:pStyle w:val="Compact"/>
            </w:pPr>
            <w:r>
              <w:rPr>
                <w:rStyle w:val="VerbatimChar"/>
              </w:rPr>
              <w:t xml:space="preserve">Confidential-PII</w:t>
            </w:r>
          </w:p>
        </w:tc>
      </w:tr>
      <w:tr>
        <w:tc>
          <w:tcPr/>
          <w:p>
            <w:pPr>
              <w:pStyle w:val="Compact"/>
            </w:pPr>
            <w:r>
              <w:t xml:space="preserve">Citizen portal — email notifications</w:t>
            </w:r>
          </w:p>
        </w:tc>
        <w:tc>
          <w:tcPr/>
          <w:p>
            <w:pPr>
              <w:pStyle w:val="Compact"/>
            </w:pPr>
            <w:r>
              <w:t xml:space="preserve">Voluntary enrollment</w:t>
            </w:r>
          </w:p>
        </w:tc>
        <w:tc>
          <w:tcPr/>
          <w:p>
            <w:pPr>
              <w:pStyle w:val="Compact"/>
            </w:pPr>
            <w:r>
              <w:t xml:space="preserve">Yes (application); No (email)</w:t>
            </w:r>
          </w:p>
        </w:tc>
        <w:tc>
          <w:tcPr/>
          <w:p>
            <w:pPr>
              <w:pStyle w:val="Compact"/>
            </w:pPr>
            <w:r>
              <w:t xml:space="preserve">Yes — voluntary email</w:t>
            </w:r>
          </w:p>
        </w:tc>
        <w:tc>
          <w:tcPr/>
          <w:p>
            <w:pPr>
              <w:pStyle w:val="Compact"/>
            </w:pPr>
            <w:r>
              <w:t xml:space="preserve">Opt-in checkbox at account creation; plain-language description</w:t>
            </w:r>
          </w:p>
        </w:tc>
        <w:tc>
          <w:tcPr/>
          <w:p>
            <w:pPr>
              <w:pStyle w:val="Compact"/>
            </w:pPr>
            <w:r>
              <w:t xml:space="preserve">User account settings; immediate effect</w:t>
            </w:r>
          </w:p>
        </w:tc>
        <w:tc>
          <w:tcPr/>
          <w:p>
            <w:pPr>
              <w:pStyle w:val="Compact"/>
            </w:pPr>
            <w:r>
              <w:rPr>
                <w:rStyle w:val="VerbatimChar"/>
              </w:rPr>
              <w:t xml:space="preserve">General-PII</w:t>
            </w:r>
          </w:p>
        </w:tc>
      </w:tr>
      <w:tr>
        <w:tc>
          <w:tcPr/>
          <w:p>
            <w:pPr>
              <w:pStyle w:val="Compact"/>
            </w:pPr>
            <w:r>
              <w:t xml:space="preserve">Contact center (Amazon Connect) — call recording</w:t>
            </w:r>
          </w:p>
        </w:tc>
        <w:tc>
          <w:tcPr/>
          <w:p>
            <w:pPr>
              <w:pStyle w:val="Compact"/>
            </w:pPr>
            <w:r>
              <w:t xml:space="preserve">Voluntary continuation of call</w:t>
            </w:r>
          </w:p>
        </w:tc>
        <w:tc>
          <w:tcPr/>
          <w:p>
            <w:pPr>
              <w:pStyle w:val="Compact"/>
            </w:pPr>
            <w:r>
              <w:t xml:space="preserve">No — consent required for recording</w:t>
            </w:r>
          </w:p>
        </w:tc>
        <w:tc>
          <w:tcPr/>
          <w:p>
            <w:pPr>
              <w:pStyle w:val="Compact"/>
            </w:pPr>
            <w:r>
              <w:t xml:space="preserve">Yes</w:t>
            </w:r>
          </w:p>
        </w:tc>
        <w:tc>
          <w:tcPr/>
          <w:p>
            <w:pPr>
              <w:pStyle w:val="Compact"/>
            </w:pPr>
            <w:r>
              <w:t xml:space="preserve">Automated voice notice at call start; caller may disconnect</w:t>
            </w:r>
          </w:p>
        </w:tc>
        <w:tc>
          <w:tcPr/>
          <w:p>
            <w:pPr>
              <w:pStyle w:val="Compact"/>
            </w:pPr>
            <w:r>
              <w:t xml:space="preserve">Caller disconnects; no further recording</w:t>
            </w:r>
          </w:p>
        </w:tc>
        <w:tc>
          <w:tcPr/>
          <w:p>
            <w:pPr>
              <w:pStyle w:val="Compact"/>
            </w:pPr>
            <w:r>
              <w:rPr>
                <w:rStyle w:val="VerbatimChar"/>
              </w:rPr>
              <w:t xml:space="preserve">Confidential-PII</w:t>
            </w:r>
          </w:p>
        </w:tc>
      </w:tr>
      <w:tr>
        <w:tc>
          <w:tcPr/>
          <w:p>
            <w:pPr>
              <w:pStyle w:val="Compact"/>
            </w:pPr>
            <w:r>
              <w:t xml:space="preserve">Analytics cookies on citizen portal</w:t>
            </w:r>
          </w:p>
        </w:tc>
        <w:tc>
          <w:tcPr/>
          <w:p>
            <w:pPr>
              <w:pStyle w:val="Compact"/>
            </w:pPr>
            <w:r>
              <w:t xml:space="preserve">Tracking technology</w:t>
            </w:r>
          </w:p>
        </w:tc>
        <w:tc>
          <w:tcPr/>
          <w:p>
            <w:pPr>
              <w:pStyle w:val="Compact"/>
            </w:pPr>
            <w:r>
              <w:t xml:space="preserve">No statutory basis</w:t>
            </w:r>
          </w:p>
        </w:tc>
        <w:tc>
          <w:tcPr/>
          <w:p>
            <w:pPr>
              <w:pStyle w:val="Compact"/>
            </w:pPr>
            <w:r>
              <w:t xml:space="preserve">Yes — OMB M-10-22</w:t>
            </w:r>
          </w:p>
        </w:tc>
        <w:tc>
          <w:tcPr/>
          <w:p>
            <w:pPr>
              <w:pStyle w:val="Compact"/>
            </w:pPr>
            <w:r>
              <w:t xml:space="preserve">Cookie consent banner on first visit; DoNotTrack respected</w:t>
            </w:r>
          </w:p>
        </w:tc>
        <w:tc>
          <w:tcPr/>
          <w:p>
            <w:pPr>
              <w:pStyle w:val="Compact"/>
            </w:pPr>
            <w:r>
              <w:t xml:space="preserve">Cookie preference center; opt-out</w:t>
            </w:r>
          </w:p>
        </w:tc>
        <w:tc>
          <w:tcPr/>
          <w:p>
            <w:pPr>
              <w:pStyle w:val="Compact"/>
            </w:pPr>
            <w:r>
              <w:rPr>
                <w:rStyle w:val="VerbatimChar"/>
              </w:rPr>
              <w:t xml:space="preserve">General</w:t>
            </w:r>
          </w:p>
        </w:tc>
      </w:tr>
      <w:tr>
        <w:tc>
          <w:tcPr/>
          <w:p>
            <w:pPr>
              <w:pStyle w:val="Compact"/>
            </w:pPr>
            <w:r>
              <w:t xml:space="preserve">Cross-agency data sharing (API inbound)</w:t>
            </w:r>
          </w:p>
        </w:tc>
        <w:tc>
          <w:tcPr/>
          <w:p>
            <w:pPr>
              <w:pStyle w:val="Compact"/>
            </w:pPr>
            <w:r>
              <w:t xml:space="preserve">Data received from [AGENCY]</w:t>
            </w:r>
          </w:p>
        </w:tc>
        <w:tc>
          <w:tcPr/>
          <w:p>
            <w:pPr>
              <w:pStyle w:val="Compact"/>
            </w:pPr>
            <w:r>
              <w:t xml:space="preserve">Yes — DSA + Privacy Act routine use</w:t>
            </w:r>
          </w:p>
        </w:tc>
        <w:tc>
          <w:tcPr/>
          <w:p>
            <w:pPr>
              <w:pStyle w:val="Compact"/>
            </w:pPr>
            <w:r>
              <w:t xml:space="preserve">No — DSA governs</w:t>
            </w:r>
          </w:p>
        </w:tc>
        <w:tc>
          <w:tcPr/>
          <w:p>
            <w:pPr>
              <w:pStyle w:val="Compact"/>
            </w:pPr>
            <w:r>
              <w:t xml:space="preserve">Data-sharing agreement on file; individuals notified via sending agency</w:t>
            </w:r>
          </w:p>
        </w:tc>
        <w:tc>
          <w:tcPr/>
          <w:p>
            <w:pPr>
              <w:pStyle w:val="Compact"/>
            </w:pPr>
            <w:r>
              <w:t xml:space="preserve">N/A — governed by originating SORN</w:t>
            </w:r>
          </w:p>
        </w:tc>
        <w:tc>
          <w:tcPr/>
          <w:p>
            <w:pPr>
              <w:pStyle w:val="Compact"/>
            </w:pPr>
            <w:r>
              <w:rPr>
                <w:rStyle w:val="VerbatimChar"/>
              </w:rPr>
              <w:t xml:space="preserve">Confidential-PII</w:t>
            </w:r>
          </w:p>
        </w:tc>
      </w:tr>
      <w:tr>
        <w:tc>
          <w:tcPr/>
          <w:p>
            <w:pPr>
              <w:pStyle w:val="Compact"/>
            </w:pPr>
            <w:r>
              <w:t xml:space="preserve">HR system — employee records</w:t>
            </w:r>
          </w:p>
        </w:tc>
        <w:tc>
          <w:tcPr/>
          <w:p>
            <w:pPr>
              <w:pStyle w:val="Compact"/>
            </w:pPr>
            <w:r>
              <w:t xml:space="preserve">Employment relationship</w:t>
            </w:r>
          </w:p>
        </w:tc>
        <w:tc>
          <w:tcPr/>
          <w:p>
            <w:pPr>
              <w:pStyle w:val="Compact"/>
            </w:pPr>
            <w:r>
              <w:t xml:space="preserve">Yes — 5 U.S.C. §552a, OPM schedules</w:t>
            </w:r>
          </w:p>
        </w:tc>
        <w:tc>
          <w:tcPr/>
          <w:p>
            <w:pPr>
              <w:pStyle w:val="Compact"/>
            </w:pPr>
            <w:r>
              <w:t xml:space="preserve">No — statutory</w:t>
            </w:r>
          </w:p>
        </w:tc>
        <w:tc>
          <w:tcPr/>
          <w:p>
            <w:pPr>
              <w:pStyle w:val="Compact"/>
            </w:pPr>
            <w:r>
              <w:t xml:space="preserve">SF-2809/2810 enrollment forms include Privacy Act statement</w:t>
            </w:r>
          </w:p>
        </w:tc>
        <w:tc>
          <w:tcPr/>
          <w:p>
            <w:pPr>
              <w:pStyle w:val="Compact"/>
            </w:pPr>
            <w:r>
              <w:t xml:space="preserve">N/A — statutory</w:t>
            </w:r>
          </w:p>
        </w:tc>
        <w:tc>
          <w:tcPr/>
          <w:p>
            <w:pPr>
              <w:pStyle w:val="Compact"/>
            </w:pPr>
            <w:r>
              <w:rPr>
                <w:rStyle w:val="VerbatimChar"/>
              </w:rPr>
              <w:t xml:space="preserve">Restricted-HR</w:t>
            </w:r>
          </w:p>
        </w:tc>
      </w:tr>
      <w:tr>
        <w:tc>
          <w:tcPr/>
          <w:p>
            <w:pPr>
              <w:pStyle w:val="Compact"/>
            </w:pPr>
            <w:r>
              <w:t xml:space="preserve">[DATA SOURCE]</w:t>
            </w:r>
          </w:p>
        </w:tc>
        <w:tc>
          <w:tcPr/>
          <w:p>
            <w:pPr>
              <w:pStyle w:val="Compact"/>
            </w:pPr>
            <w:r>
              <w:t xml:space="preserve">[INTERACTION]</w:t>
            </w:r>
          </w:p>
        </w:tc>
        <w:tc>
          <w:tcPr/>
          <w:p>
            <w:pPr>
              <w:pStyle w:val="Compact"/>
            </w:pPr>
            <w:r>
              <w:t xml:space="preserve">[YES/NO]</w:t>
            </w:r>
          </w:p>
        </w:tc>
        <w:tc>
          <w:tcPr/>
          <w:p>
            <w:pPr>
              <w:pStyle w:val="Compact"/>
            </w:pPr>
            <w:r>
              <w:t xml:space="preserve">[YES/NO]</w:t>
            </w:r>
          </w:p>
        </w:tc>
        <w:tc>
          <w:tcPr/>
          <w:p>
            <w:pPr>
              <w:pStyle w:val="Compact"/>
            </w:pPr>
            <w:r>
              <w:t xml:space="preserve">[MECHANISM]</w:t>
            </w:r>
          </w:p>
        </w:tc>
        <w:tc>
          <w:tcPr/>
          <w:p>
            <w:pPr>
              <w:pStyle w:val="Compact"/>
            </w:pPr>
            <w:r>
              <w:t xml:space="preserve">[PROCESS]</w:t>
            </w:r>
          </w:p>
        </w:tc>
        <w:tc>
          <w:tcPr/>
          <w:p>
            <w:pPr>
              <w:pStyle w:val="Compact"/>
            </w:pPr>
            <w:r>
              <w:t xml:space="preserve">[LABEL]</w:t>
            </w:r>
          </w:p>
        </w:tc>
      </w:tr>
    </w:tbl>
    <w:bookmarkEnd w:id="148"/>
    <w:bookmarkStart w:id="149" w:name="consent-pattern-notes"/>
    <w:p>
      <w:pPr>
        <w:pStyle w:val="Heading2"/>
      </w:pPr>
      <w:r>
        <w:t xml:space="preserve">Consent Pattern Notes</w:t>
      </w:r>
    </w:p>
    <w:p>
      <w:pPr>
        <w:pStyle w:val="FirstParagraph"/>
      </w:pPr>
      <w:r>
        <w:rPr>
          <w:b/>
          <w:bCs/>
        </w:rPr>
        <w:t xml:space="preserve">Web Form Pattern (Explicit Checkbox):</w:t>
      </w:r>
      <w:r>
        <w:t xml:space="preserve"> </w:t>
      </w:r>
      <w:r>
        <w:t xml:space="preserve">For voluntary collection on web forms,</w:t>
      </w:r>
      <w:r>
        <w:t xml:space="preserve"> </w:t>
      </w:r>
      <w:r>
        <w:t xml:space="preserve">use an unchecked opt-in checkbox. Pre-checked boxes do not constitute valid</w:t>
      </w:r>
      <w:r>
        <w:t xml:space="preserve"> </w:t>
      </w:r>
      <w:r>
        <w:t xml:space="preserve">consent. The checkbox label must identify: (1) what data is collected, (2) how</w:t>
      </w:r>
      <w:r>
        <w:t xml:space="preserve"> </w:t>
      </w:r>
      <w:r>
        <w:t xml:space="preserve">it will be used, and (3) that participation is voluntary with no penalty for</w:t>
      </w:r>
      <w:r>
        <w:t xml:space="preserve"> </w:t>
      </w:r>
      <w:r>
        <w:t xml:space="preserve">refusal.</w:t>
      </w:r>
    </w:p>
    <w:p>
      <w:pPr>
        <w:pStyle w:val="BodyText"/>
      </w:pPr>
      <w:r>
        <w:rPr>
          <w:b/>
          <w:bCs/>
        </w:rPr>
        <w:t xml:space="preserve">Automated Collection Pattern (Notice at Point of Collection):</w:t>
      </w:r>
      <w:r>
        <w:t xml:space="preserve"> </w:t>
      </w:r>
      <w:r>
        <w:t xml:space="preserve">Where consent</w:t>
      </w:r>
      <w:r>
        <w:t xml:space="preserve"> </w:t>
      </w:r>
      <w:r>
        <w:t xml:space="preserve">is not required but notice is (e.g., call recording under statutory authority),</w:t>
      </w:r>
      <w:r>
        <w:t xml:space="preserve"> </w:t>
      </w:r>
      <w:r>
        <w:t xml:space="preserve">provide a clear notice before collection begins. Document the notice text in the</w:t>
      </w:r>
      <w:r>
        <w:t xml:space="preserve"> </w:t>
      </w:r>
      <w:r>
        <w:t xml:space="preserve">PT-5 template (§6).</w:t>
      </w:r>
    </w:p>
    <w:p>
      <w:pPr>
        <w:pStyle w:val="BodyText"/>
      </w:pPr>
      <w:r>
        <w:rPr>
          <w:b/>
          <w:bCs/>
        </w:rPr>
        <w:t xml:space="preserve">Inter-Agency Sharing Pattern (Data Sharing Agreement):</w:t>
      </w:r>
      <w:r>
        <w:t xml:space="preserve"> </w:t>
      </w:r>
      <w:r>
        <w:t xml:space="preserve">When PII is received</w:t>
      </w:r>
      <w:r>
        <w:t xml:space="preserve"> </w:t>
      </w:r>
      <w:r>
        <w:t xml:space="preserve">from another federal agency, the DSA serves as the legal instrument. Individuals</w:t>
      </w:r>
      <w:r>
        <w:t xml:space="preserve"> </w:t>
      </w:r>
      <w:r>
        <w:t xml:space="preserve">are deemed notified through the originating agency’s SORN. Verify the sending</w:t>
      </w:r>
      <w:r>
        <w:t xml:space="preserve"> </w:t>
      </w:r>
      <w:r>
        <w:t xml:space="preserve">agency’s SORN includes a routine use that covers the receiving use case.</w:t>
      </w:r>
    </w:p>
    <w:p>
      <w:r>
        <w:pict>
          <v:rect style="width:0;height:1.5pt" o:hralign="center" o:hrstd="t" o:hr="t"/>
        </w:pict>
      </w:r>
    </w:p>
    <w:bookmarkEnd w:id="149"/>
    <w:bookmarkEnd w:id="150"/>
    <w:bookmarkStart w:id="156" w:name="privacy-notice-pt-5"/>
    <w:p>
      <w:pPr>
        <w:pStyle w:val="Heading1"/>
      </w:pPr>
      <w:r>
        <w:t xml:space="preserve">Privacy Notice (PT-5)</w:t>
      </w:r>
    </w:p>
    <w:bookmarkStart w:id="151" w:name="control-requirement-4"/>
    <w:p>
      <w:pPr>
        <w:pStyle w:val="Heading2"/>
      </w:pPr>
      <w:r>
        <w:t xml:space="preserve">Control Requirement</w:t>
      </w:r>
    </w:p>
    <w:p>
      <w:pPr>
        <w:pStyle w:val="FirstParagraph"/>
      </w:pPr>
      <w:r>
        <w:t xml:space="preserve">PT-5 requires the organization to provide notice to individuals regarding the</w:t>
      </w:r>
      <w:r>
        <w:t xml:space="preserve"> </w:t>
      </w:r>
      <w:r>
        <w:t xml:space="preserve">collection, use, maintenance, and dissemination of PII. Notice must be provided</w:t>
      </w:r>
      <w:r>
        <w:t xml:space="preserve"> </w:t>
      </w:r>
      <w:r>
        <w:t xml:space="preserve">at or before the time of collection. For web-based systems, OMB M-03-22 and</w:t>
      </w:r>
      <w:r>
        <w:t xml:space="preserve"> </w:t>
      </w:r>
      <w:r>
        <w:t xml:space="preserve">the E-Gov Act §208 specify required notice elements.</w:t>
      </w:r>
    </w:p>
    <w:bookmarkEnd w:id="151"/>
    <w:bookmarkStart w:id="152" w:name="required-notice-elements-omb-m-03-22"/>
    <w:p>
      <w:pPr>
        <w:pStyle w:val="Heading2"/>
      </w:pPr>
      <w:r>
        <w:t xml:space="preserve">Required Notice Elements (OMB M-03-22)</w:t>
      </w:r>
    </w:p>
    <w:p>
      <w:pPr>
        <w:pStyle w:val="FirstParagraph"/>
      </w:pPr>
      <w:r>
        <w:t xml:space="preserve">Every privacy notice for a federal web-based system must include:</w:t>
      </w:r>
    </w:p>
    <w:p>
      <w:pPr>
        <w:pStyle w:val="Compact"/>
        <w:numPr>
          <w:ilvl w:val="0"/>
          <w:numId w:val="1039"/>
        </w:numPr>
      </w:pPr>
      <w:r>
        <w:t xml:space="preserve">The</w:t>
      </w:r>
      <w:r>
        <w:t xml:space="preserve"> </w:t>
      </w:r>
      <w:r>
        <w:rPr>
          <w:b/>
          <w:bCs/>
        </w:rPr>
        <w:t xml:space="preserve">identity</w:t>
      </w:r>
      <w:r>
        <w:t xml:space="preserve"> </w:t>
      </w:r>
      <w:r>
        <w:t xml:space="preserve">of the agency collecting the information</w:t>
      </w:r>
    </w:p>
    <w:p>
      <w:pPr>
        <w:pStyle w:val="Compact"/>
        <w:numPr>
          <w:ilvl w:val="0"/>
          <w:numId w:val="1039"/>
        </w:numPr>
      </w:pPr>
      <w:r>
        <w:t xml:space="preserve">The</w:t>
      </w:r>
      <w:r>
        <w:t xml:space="preserve"> </w:t>
      </w:r>
      <w:r>
        <w:rPr>
          <w:b/>
          <w:bCs/>
        </w:rPr>
        <w:t xml:space="preserve">legal authority</w:t>
      </w:r>
      <w:r>
        <w:t xml:space="preserve"> </w:t>
      </w:r>
      <w:r>
        <w:t xml:space="preserve">for the collection (statute or executive order)</w:t>
      </w:r>
    </w:p>
    <w:p>
      <w:pPr>
        <w:pStyle w:val="Compact"/>
        <w:numPr>
          <w:ilvl w:val="0"/>
          <w:numId w:val="1039"/>
        </w:numPr>
      </w:pPr>
      <w:r>
        <w:t xml:space="preserve">The</w:t>
      </w:r>
      <w:r>
        <w:t xml:space="preserve"> </w:t>
      </w:r>
      <w:r>
        <w:rPr>
          <w:b/>
          <w:bCs/>
        </w:rPr>
        <w:t xml:space="preserve">principal purpose(s)</w:t>
      </w:r>
      <w:r>
        <w:t xml:space="preserve"> </w:t>
      </w:r>
      <w:r>
        <w:t xml:space="preserve">for which the information will be used</w:t>
      </w:r>
    </w:p>
    <w:p>
      <w:pPr>
        <w:pStyle w:val="Compact"/>
        <w:numPr>
          <w:ilvl w:val="0"/>
          <w:numId w:val="1039"/>
        </w:numPr>
      </w:pPr>
      <w:r>
        <w:t xml:space="preserve">The</w:t>
      </w:r>
      <w:r>
        <w:t xml:space="preserve"> </w:t>
      </w:r>
      <w:r>
        <w:rPr>
          <w:b/>
          <w:bCs/>
        </w:rPr>
        <w:t xml:space="preserve">routine uses</w:t>
      </w:r>
      <w:r>
        <w:t xml:space="preserve"> </w:t>
      </w:r>
      <w:r>
        <w:t xml:space="preserve">— disclosures permitted outside the originating system</w:t>
      </w:r>
    </w:p>
    <w:p>
      <w:pPr>
        <w:pStyle w:val="Compact"/>
        <w:numPr>
          <w:ilvl w:val="0"/>
          <w:numId w:val="1039"/>
        </w:numPr>
      </w:pPr>
      <w:r>
        <w:t xml:space="preserve">Whether providing the information is</w:t>
      </w:r>
      <w:r>
        <w:t xml:space="preserve"> </w:t>
      </w:r>
      <w:r>
        <w:rPr>
          <w:b/>
          <w:bCs/>
        </w:rPr>
        <w:t xml:space="preserve">mandatory or voluntary</w:t>
      </w:r>
    </w:p>
    <w:p>
      <w:pPr>
        <w:pStyle w:val="Compact"/>
        <w:numPr>
          <w:ilvl w:val="0"/>
          <w:numId w:val="1039"/>
        </w:numPr>
      </w:pPr>
      <w:r>
        <w:t xml:space="preserve">The</w:t>
      </w:r>
      <w:r>
        <w:t xml:space="preserve"> </w:t>
      </w:r>
      <w:r>
        <w:rPr>
          <w:b/>
          <w:bCs/>
        </w:rPr>
        <w:t xml:space="preserve">effects of non-disclosure</w:t>
      </w:r>
      <w:r>
        <w:t xml:space="preserve"> </w:t>
      </w:r>
      <w:r>
        <w:t xml:space="preserve">— what happens if the individual does not provide the information</w:t>
      </w:r>
    </w:p>
    <w:bookmarkEnd w:id="152"/>
    <w:bookmarkStart w:id="153" w:name="X1cc2f197e73a1f1ddd0d55bcd97b6cbb3e389d8"/>
    <w:p>
      <w:pPr>
        <w:pStyle w:val="Heading2"/>
      </w:pPr>
      <w:r>
        <w:t xml:space="preserve">Model Privacy Notice — Agency Citizen Portal</w:t>
      </w:r>
    </w:p>
    <w:p>
      <w:pPr>
        <w:pStyle w:val="BlockText"/>
      </w:pPr>
      <w:r>
        <w:t xml:space="preserve">[FILLABLE] The following model notice may be adapted for any Agency citizen-</w:t>
      </w:r>
      <w:r>
        <w:t xml:space="preserve"> </w:t>
      </w:r>
      <w:r>
        <w:t xml:space="preserve">facing system. Replace all [PLACEHOLDER] values with system-specific content.</w:t>
      </w:r>
      <w:r>
        <w:t xml:space="preserve"> </w:t>
      </w:r>
      <w:r>
        <w:t xml:space="preserve">Legal Counsel and SAOP must review the final text before publication.</w:t>
      </w:r>
    </w:p>
    <w:p>
      <w:r>
        <w:pict>
          <v:rect style="width:0;height:1.5pt" o:hralign="center" o:hrstd="t" o:hr="t"/>
        </w:pict>
      </w:r>
    </w:p>
    <w:p>
      <w:pPr>
        <w:pStyle w:val="FirstParagraph"/>
      </w:pPr>
      <w:r>
        <w:rPr>
          <w:b/>
          <w:bCs/>
        </w:rPr>
        <w:t xml:space="preserve">PRIVACY ACT STATEMENT</w:t>
      </w:r>
    </w:p>
    <w:p>
      <w:pPr>
        <w:pStyle w:val="BodyText"/>
      </w:pPr>
      <w:r>
        <w:rPr>
          <w:i/>
          <w:iCs/>
        </w:rPr>
        <w:t xml:space="preserve">[SYSTEM NAME] — [AGENCY PROGRAM NAME]</w:t>
      </w:r>
    </w:p>
    <w:p>
      <w:pPr>
        <w:pStyle w:val="BodyText"/>
      </w:pPr>
      <w:r>
        <w:rPr>
          <w:b/>
          <w:bCs/>
        </w:rPr>
        <w:t xml:space="preserve">Collecting Agency:</w:t>
      </w:r>
      <w:r>
        <w:t xml:space="preserve"> </w:t>
      </w:r>
      <w:r>
        <w:t xml:space="preserve">Agency, [PROGRAM OFFICE]</w:t>
      </w:r>
    </w:p>
    <w:p>
      <w:pPr>
        <w:pStyle w:val="BodyText"/>
      </w:pPr>
      <w:r>
        <w:rPr>
          <w:b/>
          <w:bCs/>
        </w:rPr>
        <w:t xml:space="preserve">Legal Authority:</w:t>
      </w:r>
      <w:r>
        <w:t xml:space="preserve"> </w:t>
      </w:r>
      <w:r>
        <w:t xml:space="preserve">[CITATION — e.g.,</w:t>
      </w:r>
      <w:r>
        <w:t xml:space="preserve"> </w:t>
      </w:r>
      <w:r>
        <w:t xml:space="preserve">“Section 205(c) of the Social Security</w:t>
      </w:r>
      <w:r>
        <w:t xml:space="preserve"> </w:t>
      </w:r>
      <w:r>
        <w:t xml:space="preserve">Act (42 U.S.C. §405(c)) authorizes Agency to collect this information.”</w:t>
      </w:r>
      <w:r>
        <w:t xml:space="preserve">]</w:t>
      </w:r>
    </w:p>
    <w:p>
      <w:pPr>
        <w:pStyle w:val="BodyText"/>
      </w:pPr>
      <w:r>
        <w:rPr>
          <w:b/>
          <w:bCs/>
        </w:rPr>
        <w:t xml:space="preserve">Purpose:</w:t>
      </w:r>
      <w:r>
        <w:t xml:space="preserve"> </w:t>
      </w:r>
      <w:r>
        <w:t xml:space="preserve">Agency collects this information to [PRIMARY PURPOSE — e.g.,</w:t>
      </w:r>
      <w:r>
        <w:t xml:space="preserve"> </w:t>
      </w:r>
      <w:r>
        <w:t xml:space="preserve">“process your application for retirement, disability, or survivor benefits and</w:t>
      </w:r>
      <w:r>
        <w:t xml:space="preserve"> </w:t>
      </w:r>
      <w:r>
        <w:t xml:space="preserve">to verify your eligibility”</w:t>
      </w:r>
      <w:r>
        <w:t xml:space="preserve">]. Your information may also be used to [SECONDARY</w:t>
      </w:r>
      <w:r>
        <w:t xml:space="preserve"> </w:t>
      </w:r>
      <w:r>
        <w:t xml:space="preserve">PURPOSE IF ANY — e.g.,</w:t>
      </w:r>
      <w:r>
        <w:t xml:space="preserve"> </w:t>
      </w:r>
      <w:r>
        <w:t xml:space="preserve">“detect and prevent fraud in connection with Agency</w:t>
      </w:r>
      <w:r>
        <w:t xml:space="preserve"> </w:t>
      </w:r>
      <w:r>
        <w:t xml:space="preserve">programs”</w:t>
      </w:r>
      <w:r>
        <w:t xml:space="preserve">].</w:t>
      </w:r>
    </w:p>
    <w:p>
      <w:pPr>
        <w:pStyle w:val="BodyText"/>
      </w:pPr>
      <w:r>
        <w:rPr>
          <w:b/>
          <w:bCs/>
        </w:rPr>
        <w:t xml:space="preserve">Routine Uses:</w:t>
      </w:r>
      <w:r>
        <w:t xml:space="preserve"> </w:t>
      </w:r>
      <w:r>
        <w:t xml:space="preserve">Agency may disclose information from this system as permitted</w:t>
      </w:r>
      <w:r>
        <w:t xml:space="preserve"> </w:t>
      </w:r>
      <w:r>
        <w:t xml:space="preserve">by the Privacy Act, including to: [LIST KEY ROUTINE USES FROM SORN —</w:t>
      </w:r>
      <w:r>
        <w:t xml:space="preserve"> </w:t>
      </w:r>
      <w:r>
        <w:t xml:space="preserve">e.g.,</w:t>
      </w:r>
      <w:r>
        <w:t xml:space="preserve"> </w:t>
      </w:r>
      <w:r>
        <w:t xml:space="preserve">“the Department of Justice for litigation support; state agencies for</w:t>
      </w:r>
      <w:r>
        <w:t xml:space="preserve"> </w:t>
      </w:r>
      <w:r>
        <w:t xml:space="preserve">Medicaid coordination; the Internal Revenue Service for tax record matching</w:t>
      </w:r>
      <w:r>
        <w:t xml:space="preserve"> </w:t>
      </w:r>
      <w:r>
        <w:t xml:space="preserve">under the agency’s enabling statute §[SECTION]”</w:t>
      </w:r>
      <w:r>
        <w:t xml:space="preserve">]. A complete list of routine uses appears</w:t>
      </w:r>
      <w:r>
        <w:t xml:space="preserve"> </w:t>
      </w:r>
      <w:r>
        <w:t xml:space="preserve">in the System of Records Notice [SORN REFERENCE], published in the Federal</w:t>
      </w:r>
      <w:r>
        <w:t xml:space="preserve"> </w:t>
      </w:r>
      <w:r>
        <w:t xml:space="preserve">Register at [FR CITATION].</w:t>
      </w:r>
    </w:p>
    <w:p>
      <w:pPr>
        <w:pStyle w:val="BodyText"/>
      </w:pPr>
      <w:r>
        <w:rPr>
          <w:b/>
          <w:bCs/>
        </w:rPr>
        <w:t xml:space="preserve">Disclosure:</w:t>
      </w:r>
      <w:r>
        <w:t xml:space="preserve"> </w:t>
      </w:r>
      <w:r>
        <w:t xml:space="preserve">Providing this information is [MANDATORY / VOLUNTARY].</w:t>
      </w:r>
    </w:p>
    <w:p>
      <w:pPr>
        <w:pStyle w:val="BlockText"/>
      </w:pPr>
      <w:r>
        <w:t xml:space="preserve">[FILLABLE — MANDATORY CASE:] Providing your [SPECIFIC FIELD, e.g., Social</w:t>
      </w:r>
      <w:r>
        <w:t xml:space="preserve"> </w:t>
      </w:r>
      <w:r>
        <w:t xml:space="preserve">Security Number] is mandatory under [LEGAL CITATION]. Failure to provide</w:t>
      </w:r>
      <w:r>
        <w:t xml:space="preserve"> </w:t>
      </w:r>
      <w:r>
        <w:t xml:space="preserve">this information will result in [CONSEQUENCE — e.g.,</w:t>
      </w:r>
      <w:r>
        <w:t xml:space="preserve"> </w:t>
      </w:r>
      <w:r>
        <w:t xml:space="preserve">“delay or denial of</w:t>
      </w:r>
      <w:r>
        <w:t xml:space="preserve"> </w:t>
      </w:r>
      <w:r>
        <w:t xml:space="preserve">your benefit application”</w:t>
      </w:r>
      <w:r>
        <w:t xml:space="preserve">].</w:t>
      </w:r>
    </w:p>
    <w:p>
      <w:pPr>
        <w:pStyle w:val="BlockText"/>
      </w:pPr>
      <w:r>
        <w:t xml:space="preserve">[FILLABLE — VOLUNTARY CASE:] Providing your [SPECIFIC FIELD, e.g., email</w:t>
      </w:r>
      <w:r>
        <w:t xml:space="preserve"> </w:t>
      </w:r>
      <w:r>
        <w:t xml:space="preserve">address for notifications] is voluntary. There is no penalty for choosing</w:t>
      </w:r>
      <w:r>
        <w:t xml:space="preserve"> </w:t>
      </w:r>
      <w:r>
        <w:t xml:space="preserve">not to provide this information.</w:t>
      </w:r>
    </w:p>
    <w:p>
      <w:r>
        <w:pict>
          <v:rect style="width:0;height:1.5pt" o:hralign="center" o:hrstd="t" o:hr="t"/>
        </w:pict>
      </w:r>
    </w:p>
    <w:bookmarkEnd w:id="153"/>
    <w:bookmarkStart w:id="154" w:name="web-notice-placement-requirements"/>
    <w:p>
      <w:pPr>
        <w:pStyle w:val="Heading2"/>
      </w:pPr>
      <w:r>
        <w:t xml:space="preserve">Web Notice Placement Requirements</w:t>
      </w:r>
    </w:p>
    <w:p>
      <w:pPr>
        <w:pStyle w:val="FirstParagraph"/>
      </w:pPr>
      <w:r>
        <w:t xml:space="preserve">Privacy notices must appear at the following touchpoints on Agency web systems:</w:t>
      </w:r>
    </w:p>
    <w:tbl>
      <w:tblPr>
        <w:tblStyle w:val="Table"/>
        <w:tblW w:type="pct" w:w="5000"/>
        <w:tblLayout w:type="fixed"/>
        <w:tblLook w:firstRow="1" w:lastRow="0" w:firstColumn="0" w:lastColumn="0" w:noHBand="0" w:noVBand="0" w:val="0020"/>
      </w:tblPr>
      <w:tblGrid>
        <w:gridCol w:w="1936"/>
        <w:gridCol w:w="2112"/>
        <w:gridCol w:w="3872"/>
      </w:tblGrid>
      <w:tr>
        <w:trPr>
          <w:tblHeader w:val="on"/>
        </w:trPr>
        <w:tc>
          <w:tcPr/>
          <w:p>
            <w:pPr>
              <w:pStyle w:val="Compact"/>
            </w:pPr>
            <w:r>
              <w:t xml:space="preserve">Placement</w:t>
            </w:r>
          </w:p>
        </w:tc>
        <w:tc>
          <w:tcPr/>
          <w:p>
            <w:pPr>
              <w:pStyle w:val="Compact"/>
            </w:pPr>
            <w:r>
              <w:t xml:space="preserve">Requirement</w:t>
            </w:r>
          </w:p>
        </w:tc>
        <w:tc>
          <w:tcPr/>
          <w:p>
            <w:pPr>
              <w:pStyle w:val="Compact"/>
            </w:pPr>
            <w:r>
              <w:t xml:space="preserve">OMB / E-Gov Reference</w:t>
            </w:r>
          </w:p>
        </w:tc>
      </w:tr>
      <w:tr>
        <w:tc>
          <w:tcPr/>
          <w:p>
            <w:pPr>
              <w:pStyle w:val="Compact"/>
            </w:pPr>
            <w:r>
              <w:t xml:space="preserve">Website privacy policy page</w:t>
            </w:r>
          </w:p>
        </w:tc>
        <w:tc>
          <w:tcPr/>
          <w:p>
            <w:pPr>
              <w:pStyle w:val="Compact"/>
            </w:pPr>
            <w:r>
              <w:t xml:space="preserve">Full notice; linked from every page footer</w:t>
            </w:r>
          </w:p>
        </w:tc>
        <w:tc>
          <w:tcPr/>
          <w:p>
            <w:pPr>
              <w:pStyle w:val="Compact"/>
            </w:pPr>
            <w:r>
              <w:t xml:space="preserve">E-Gov Act §208(b)(1)</w:t>
            </w:r>
          </w:p>
        </w:tc>
      </w:tr>
      <w:tr>
        <w:tc>
          <w:tcPr/>
          <w:p>
            <w:pPr>
              <w:pStyle w:val="Compact"/>
            </w:pPr>
            <w:r>
              <w:t xml:space="preserve">Online forms (before submission)</w:t>
            </w:r>
          </w:p>
        </w:tc>
        <w:tc>
          <w:tcPr/>
          <w:p>
            <w:pPr>
              <w:pStyle w:val="Compact"/>
            </w:pPr>
            <w:r>
              <w:t xml:space="preserve">Privacy Act Statement or link to full notice above each form</w:t>
            </w:r>
          </w:p>
        </w:tc>
        <w:tc>
          <w:tcPr/>
          <w:p>
            <w:pPr>
              <w:pStyle w:val="Compact"/>
            </w:pPr>
            <w:r>
              <w:t xml:space="preserve">OMB M-03-22 §III.A</w:t>
            </w:r>
          </w:p>
        </w:tc>
      </w:tr>
      <w:tr>
        <w:tc>
          <w:tcPr/>
          <w:p>
            <w:pPr>
              <w:pStyle w:val="Compact"/>
            </w:pPr>
            <w:r>
              <w:t xml:space="preserve">Cookie / tracking notice banner</w:t>
            </w:r>
          </w:p>
        </w:tc>
        <w:tc>
          <w:tcPr/>
          <w:p>
            <w:pPr>
              <w:pStyle w:val="Compact"/>
            </w:pPr>
            <w:r>
              <w:t xml:space="preserve">Disclosure of tracking technologies on first visit</w:t>
            </w:r>
          </w:p>
        </w:tc>
        <w:tc>
          <w:tcPr/>
          <w:p>
            <w:pPr>
              <w:pStyle w:val="Compact"/>
            </w:pPr>
            <w:r>
              <w:t xml:space="preserve">OMB M-10-22</w:t>
            </w:r>
          </w:p>
        </w:tc>
      </w:tr>
      <w:tr>
        <w:tc>
          <w:tcPr/>
          <w:p>
            <w:pPr>
              <w:pStyle w:val="Compact"/>
            </w:pPr>
            <w:r>
              <w:t xml:space="preserve">Mobile apps (if applicable)</w:t>
            </w:r>
          </w:p>
        </w:tc>
        <w:tc>
          <w:tcPr/>
          <w:p>
            <w:pPr>
              <w:pStyle w:val="Compact"/>
            </w:pPr>
            <w:r>
              <w:t xml:space="preserve">In-app privacy notice at first launch; link to full policy</w:t>
            </w:r>
          </w:p>
        </w:tc>
        <w:tc>
          <w:tcPr/>
          <w:p>
            <w:pPr>
              <w:pStyle w:val="Compact"/>
            </w:pPr>
            <w:r>
              <w:t xml:space="preserve">OMB M-03-22 §III.B</w:t>
            </w:r>
          </w:p>
        </w:tc>
      </w:tr>
      <w:tr>
        <w:tc>
          <w:tcPr/>
          <w:p>
            <w:pPr>
              <w:pStyle w:val="Compact"/>
            </w:pPr>
            <w:r>
              <w:t xml:space="preserve">Email confirmation of submission</w:t>
            </w:r>
          </w:p>
        </w:tc>
        <w:tc>
          <w:tcPr/>
          <w:p>
            <w:pPr>
              <w:pStyle w:val="Compact"/>
            </w:pPr>
            <w:r>
              <w:t xml:space="preserve">Reference to full privacy notice URL</w:t>
            </w:r>
          </w:p>
        </w:tc>
        <w:tc>
          <w:tcPr/>
          <w:p>
            <w:pPr>
              <w:pStyle w:val="Compact"/>
            </w:pPr>
            <w:r>
              <w:t xml:space="preserve">Agency best practice</w:t>
            </w:r>
          </w:p>
        </w:tc>
      </w:tr>
    </w:tbl>
    <w:bookmarkEnd w:id="154"/>
    <w:bookmarkStart w:id="155" w:name="Xd58b74081421a3ac1e2e14d9953333a6d9858fe"/>
    <w:p>
      <w:pPr>
        <w:pStyle w:val="Heading2"/>
      </w:pPr>
      <w:r>
        <w:t xml:space="preserve">FedRAMP 20x Machine-Accessible Notice Requirement</w:t>
      </w:r>
    </w:p>
    <w:p>
      <w:pPr>
        <w:pStyle w:val="FirstParagraph"/>
      </w:pPr>
      <w:r>
        <w:t xml:space="preserve">FedRAMP 20x requires machine-accessible privacy notices for the CSOs it</w:t>
      </w:r>
      <w:r>
        <w:t xml:space="preserve"> </w:t>
      </w:r>
      <w:r>
        <w:t xml:space="preserve">authorizes; this series adopts the same standard for the agency package — a</w:t>
      </w:r>
      <w:r>
        <w:t xml:space="preserve"> </w:t>
      </w:r>
      <w:r>
        <w:t xml:space="preserve">stable, publicly reachable URL that independent assessors can validate without</w:t>
      </w:r>
      <w:r>
        <w:t xml:space="preserve"> </w:t>
      </w:r>
      <w:r>
        <w:t xml:space="preserve">manual intervention. The SSP must include:</w:t>
      </w:r>
    </w:p>
    <w:p>
      <w:pPr>
        <w:pStyle w:val="BlockText"/>
      </w:pPr>
      <w:r>
        <w:t xml:space="preserve">[FILLABLE]</w:t>
      </w:r>
      <w:r>
        <w:t xml:space="preserve"> </w:t>
      </w:r>
      <w:r>
        <w:rPr>
          <w:b/>
          <w:bCs/>
        </w:rPr>
        <w:t xml:space="preserve">Privacy Notice URL:</w:t>
      </w:r>
      <w:r>
        <w:t xml:space="preserve"> </w:t>
      </w:r>
      <w:r>
        <w:rPr>
          <w:rStyle w:val="VerbatimChar"/>
        </w:rPr>
        <w:t xml:space="preserve">https://[AGENCY-DOMAIN]/[SYSTEM-PATH]/privacy</w:t>
      </w:r>
    </w:p>
    <w:p>
      <w:pPr>
        <w:pStyle w:val="BlockText"/>
      </w:pPr>
      <w:r>
        <w:t xml:space="preserve">This URL must return a valid HTTP 200 response and contain the OMB-required</w:t>
      </w:r>
      <w:r>
        <w:t xml:space="preserve"> </w:t>
      </w:r>
      <w:r>
        <w:t xml:space="preserve">notice elements. The URL must be recorded in the SSP System Description</w:t>
      </w:r>
      <w:r>
        <w:t xml:space="preserve"> </w:t>
      </w:r>
      <w:r>
        <w:t xml:space="preserve">section under</w:t>
      </w:r>
      <w:r>
        <w:t xml:space="preserve"> </w:t>
      </w:r>
      <w:r>
        <w:t xml:space="preserve">“Privacy Posture.”</w:t>
      </w:r>
      <w:r>
        <w:t xml:space="preserve"> </w:t>
      </w:r>
      <w:r>
        <w:t xml:space="preserve">Verify URL availability as part of each</w:t>
      </w:r>
      <w:r>
        <w:t xml:space="preserve"> </w:t>
      </w:r>
      <w:r>
        <w:t xml:space="preserve">annual privacy assessment.</w:t>
      </w:r>
    </w:p>
    <w:p>
      <w:r>
        <w:pict>
          <v:rect style="width:0;height:1.5pt" o:hralign="center" o:hrstd="t" o:hr="t"/>
        </w:pict>
      </w:r>
    </w:p>
    <w:bookmarkEnd w:id="155"/>
    <w:bookmarkEnd w:id="156"/>
    <w:bookmarkStart w:id="163" w:name="specific-categories-of-pii-pt-7"/>
    <w:p>
      <w:pPr>
        <w:pStyle w:val="Heading1"/>
      </w:pPr>
      <w:r>
        <w:t xml:space="preserve">Specific Categories of PII (PT-7)</w:t>
      </w:r>
    </w:p>
    <w:bookmarkStart w:id="157" w:name="control-requirement-5"/>
    <w:p>
      <w:pPr>
        <w:pStyle w:val="Heading2"/>
      </w:pPr>
      <w:r>
        <w:t xml:space="preserve">Control Requirement</w:t>
      </w:r>
    </w:p>
    <w:p>
      <w:pPr>
        <w:pStyle w:val="FirstParagraph"/>
      </w:pPr>
      <w:r>
        <w:t xml:space="preserve">PT-7 requires the organization to apply heightened privacy protections to</w:t>
      </w:r>
      <w:r>
        <w:t xml:space="preserve"> </w:t>
      </w:r>
      <w:r>
        <w:t xml:space="preserve">special categories of PII in accordance with applicable laws, Executive Orders,</w:t>
      </w:r>
      <w:r>
        <w:t xml:space="preserve"> </w:t>
      </w:r>
      <w:r>
        <w:t xml:space="preserve">directives, regulations, policies, standards, and guidelines. Special categories</w:t>
      </w:r>
      <w:r>
        <w:t xml:space="preserve"> </w:t>
      </w:r>
      <w:r>
        <w:t xml:space="preserve">require controls beyond those applied to general PII.</w:t>
      </w:r>
    </w:p>
    <w:bookmarkEnd w:id="157"/>
    <w:bookmarkStart w:id="158" w:name="Xcaff1c05a06265f002f7f834efd7982eaffa8a6"/>
    <w:p>
      <w:pPr>
        <w:pStyle w:val="Heading2"/>
      </w:pPr>
      <w:r>
        <w:t xml:space="preserve">Special Categories Applicable to Agency Systems</w:t>
      </w:r>
    </w:p>
    <w:tbl>
      <w:tblPr>
        <w:tblStyle w:val="Table"/>
        <w:tblW w:type="pct" w:w="5000"/>
        <w:tblLayout w:type="fixed"/>
        <w:tblLook w:firstRow="1" w:lastRow="0" w:firstColumn="0" w:lastColumn="0" w:noHBand="0" w:noVBand="0" w:val="0020"/>
      </w:tblPr>
      <w:tblGrid>
        <w:gridCol w:w="1492"/>
        <w:gridCol w:w="2180"/>
        <w:gridCol w:w="4246"/>
      </w:tblGrid>
      <w:tr>
        <w:trPr>
          <w:tblHeader w:val="on"/>
        </w:trPr>
        <w:tc>
          <w:tcPr/>
          <w:p>
            <w:pPr>
              <w:pStyle w:val="Compact"/>
            </w:pPr>
            <w:r>
              <w:t xml:space="preserve">PII Category</w:t>
            </w:r>
          </w:p>
        </w:tc>
        <w:tc>
          <w:tcPr/>
          <w:p>
            <w:pPr>
              <w:pStyle w:val="Compact"/>
            </w:pPr>
            <w:r>
              <w:t xml:space="preserve">Special Category?</w:t>
            </w:r>
          </w:p>
        </w:tc>
        <w:tc>
          <w:tcPr/>
          <w:p>
            <w:pPr>
              <w:pStyle w:val="Compact"/>
            </w:pPr>
            <w:r>
              <w:t xml:space="preserve">Authority for Heightened Protection</w:t>
            </w:r>
          </w:p>
        </w:tc>
      </w:tr>
      <w:tr>
        <w:tc>
          <w:tcPr/>
          <w:p>
            <w:pPr>
              <w:pStyle w:val="Compact"/>
            </w:pPr>
            <w:r>
              <w:t xml:space="preserve">Social Security Number (SSN)</w:t>
            </w:r>
          </w:p>
        </w:tc>
        <w:tc>
          <w:tcPr/>
          <w:p>
            <w:pPr>
              <w:pStyle w:val="Compact"/>
            </w:pPr>
            <w:r>
              <w:t xml:space="preserve">Yes</w:t>
            </w:r>
          </w:p>
        </w:tc>
        <w:tc>
          <w:tcPr/>
          <w:p>
            <w:pPr>
              <w:pStyle w:val="Compact"/>
            </w:pPr>
            <w:r>
              <w:t xml:space="preserve">OMB M-17-12; SSN limitation laws</w:t>
            </w:r>
          </w:p>
        </w:tc>
      </w:tr>
      <w:tr>
        <w:tc>
          <w:tcPr/>
          <w:p>
            <w:pPr>
              <w:pStyle w:val="Compact"/>
            </w:pPr>
            <w:r>
              <w:t xml:space="preserve">Financial account numbers</w:t>
            </w:r>
          </w:p>
        </w:tc>
        <w:tc>
          <w:tcPr/>
          <w:p>
            <w:pPr>
              <w:pStyle w:val="Compact"/>
            </w:pPr>
            <w:r>
              <w:t xml:space="preserve">Yes</w:t>
            </w:r>
          </w:p>
        </w:tc>
        <w:tc>
          <w:tcPr/>
          <w:p>
            <w:pPr>
              <w:pStyle w:val="Compact"/>
            </w:pPr>
            <w:r>
              <w:t xml:space="preserve">Gramm-Leach-Bliley Act; OMB M-17-12</w:t>
            </w:r>
          </w:p>
        </w:tc>
      </w:tr>
      <w:tr>
        <w:tc>
          <w:tcPr/>
          <w:p>
            <w:pPr>
              <w:pStyle w:val="Compact"/>
            </w:pPr>
            <w:r>
              <w:t xml:space="preserve">Medical / health records (PHI)</w:t>
            </w:r>
          </w:p>
        </w:tc>
        <w:tc>
          <w:tcPr/>
          <w:p>
            <w:pPr>
              <w:pStyle w:val="Compact"/>
            </w:pPr>
            <w:r>
              <w:t xml:space="preserve">Yes</w:t>
            </w:r>
          </w:p>
        </w:tc>
        <w:tc>
          <w:tcPr/>
          <w:p>
            <w:pPr>
              <w:pStyle w:val="Compact"/>
            </w:pPr>
            <w:r>
              <w:t xml:space="preserve">HIPAA Privacy Rule (45 C.F.R. §164); Agency Act §1106</w:t>
            </w:r>
          </w:p>
        </w:tc>
      </w:tr>
      <w:tr>
        <w:tc>
          <w:tcPr/>
          <w:p>
            <w:pPr>
              <w:pStyle w:val="Compact"/>
            </w:pPr>
            <w:r>
              <w:t xml:space="preserve">Biometric data</w:t>
            </w:r>
          </w:p>
        </w:tc>
        <w:tc>
          <w:tcPr/>
          <w:p>
            <w:pPr>
              <w:pStyle w:val="Compact"/>
            </w:pPr>
            <w:r>
              <w:t xml:space="preserve">Yes</w:t>
            </w:r>
          </w:p>
        </w:tc>
        <w:tc>
          <w:tcPr/>
          <w:p>
            <w:pPr>
              <w:pStyle w:val="Compact"/>
            </w:pPr>
            <w:r>
              <w:t xml:space="preserve">OMB M-22-10; agency biometric policy</w:t>
            </w:r>
          </w:p>
        </w:tc>
      </w:tr>
      <w:tr>
        <w:tc>
          <w:tcPr/>
          <w:p>
            <w:pPr>
              <w:pStyle w:val="Compact"/>
            </w:pPr>
            <w:r>
              <w:t xml:space="preserve">Geolocation data (precise)</w:t>
            </w:r>
          </w:p>
        </w:tc>
        <w:tc>
          <w:tcPr/>
          <w:p>
            <w:pPr>
              <w:pStyle w:val="Compact"/>
            </w:pPr>
            <w:r>
              <w:t xml:space="preserve">Yes</w:t>
            </w:r>
          </w:p>
        </w:tc>
        <w:tc>
          <w:tcPr/>
          <w:p>
            <w:pPr>
              <w:pStyle w:val="Compact"/>
            </w:pPr>
            <w:r>
              <w:t xml:space="preserve">OMB M-14-06; Fourth Amendment implications</w:t>
            </w:r>
          </w:p>
        </w:tc>
      </w:tr>
      <w:tr>
        <w:tc>
          <w:tcPr/>
          <w:p>
            <w:pPr>
              <w:pStyle w:val="Compact"/>
            </w:pPr>
            <w:r>
              <w:t xml:space="preserve">Citizenship / immigration status</w:t>
            </w:r>
          </w:p>
        </w:tc>
        <w:tc>
          <w:tcPr/>
          <w:p>
            <w:pPr>
              <w:pStyle w:val="Compact"/>
            </w:pPr>
            <w:r>
              <w:t xml:space="preserve">Yes</w:t>
            </w:r>
          </w:p>
        </w:tc>
        <w:tc>
          <w:tcPr/>
          <w:p>
            <w:pPr>
              <w:pStyle w:val="Compact"/>
            </w:pPr>
            <w:r>
              <w:t xml:space="preserve">OMB guidance; agency policy; heightened sensitivity</w:t>
            </w:r>
          </w:p>
        </w:tc>
      </w:tr>
      <w:tr>
        <w:tc>
          <w:tcPr/>
          <w:p>
            <w:pPr>
              <w:pStyle w:val="Compact"/>
            </w:pPr>
            <w:r>
              <w:t xml:space="preserve">Mental health records</w:t>
            </w:r>
          </w:p>
        </w:tc>
        <w:tc>
          <w:tcPr/>
          <w:p>
            <w:pPr>
              <w:pStyle w:val="Compact"/>
            </w:pPr>
            <w:r>
              <w:t xml:space="preserve">Yes</w:t>
            </w:r>
          </w:p>
        </w:tc>
        <w:tc>
          <w:tcPr/>
          <w:p>
            <w:pPr>
              <w:pStyle w:val="Compact"/>
            </w:pPr>
            <w:r>
              <w:t xml:space="preserve">HIPAA; 42 C.F.R. Part 2 (substance use records)</w:t>
            </w:r>
          </w:p>
        </w:tc>
      </w:tr>
      <w:tr>
        <w:tc>
          <w:tcPr/>
          <w:p>
            <w:pPr>
              <w:pStyle w:val="Compact"/>
            </w:pPr>
            <w:r>
              <w:t xml:space="preserve">Genetic information</w:t>
            </w:r>
          </w:p>
        </w:tc>
        <w:tc>
          <w:tcPr/>
          <w:p>
            <w:pPr>
              <w:pStyle w:val="Compact"/>
            </w:pPr>
            <w:r>
              <w:t xml:space="preserve">Yes</w:t>
            </w:r>
          </w:p>
        </w:tc>
        <w:tc>
          <w:tcPr/>
          <w:p>
            <w:pPr>
              <w:pStyle w:val="Compact"/>
            </w:pPr>
            <w:r>
              <w:t xml:space="preserve">GINA (42 U.S.C. §2000ff et seq.); HIPAA</w:t>
            </w:r>
          </w:p>
        </w:tc>
      </w:tr>
    </w:tbl>
    <w:bookmarkEnd w:id="158"/>
    <w:bookmarkStart w:id="159" w:name="special-category-control-matrix"/>
    <w:p>
      <w:pPr>
        <w:pStyle w:val="Heading2"/>
      </w:pPr>
      <w:r>
        <w:t xml:space="preserve">Special Category Control Matrix</w:t>
      </w:r>
    </w:p>
    <w:p>
      <w:pPr>
        <w:pStyle w:val="BlockText"/>
      </w:pPr>
      <w:r>
        <w:t xml:space="preserve">[FILLABLE] For each special category processed by the system, document the</w:t>
      </w:r>
      <w:r>
        <w:t xml:space="preserve"> </w:t>
      </w:r>
      <w:r>
        <w:t xml:space="preserve">Purview sensitivity label (from Vol III Book 05), encryption requirement, access</w:t>
      </w:r>
      <w:r>
        <w:t xml:space="preserve"> </w:t>
      </w:r>
      <w:r>
        <w:t xml:space="preserve">control tier, and audit logging posture.</w:t>
      </w:r>
    </w:p>
    <w:tbl>
      <w:tblPr>
        <w:tblStyle w:val="Table"/>
        <w:tblW w:type="pct" w:w="5000"/>
        <w:tblLayout w:type="fixed"/>
        <w:tblLook w:firstRow="1" w:lastRow="0" w:firstColumn="0" w:lastColumn="0" w:noHBand="0" w:noVBand="0" w:val="0020"/>
      </w:tblPr>
      <w:tblGrid>
        <w:gridCol w:w="1119"/>
        <w:gridCol w:w="2238"/>
        <w:gridCol w:w="1893"/>
        <w:gridCol w:w="1377"/>
        <w:gridCol w:w="1291"/>
      </w:tblGrid>
      <w:tr>
        <w:trPr>
          <w:tblHeader w:val="on"/>
        </w:trPr>
        <w:tc>
          <w:tcPr/>
          <w:p>
            <w:pPr>
              <w:pStyle w:val="Compact"/>
            </w:pPr>
            <w:r>
              <w:t xml:space="preserve">PII Category</w:t>
            </w:r>
          </w:p>
        </w:tc>
        <w:tc>
          <w:tcPr/>
          <w:p>
            <w:pPr>
              <w:pStyle w:val="Compact"/>
            </w:pPr>
            <w:r>
              <w:t xml:space="preserve">Purview Sensitivity Label</w:t>
            </w:r>
          </w:p>
        </w:tc>
        <w:tc>
          <w:tcPr/>
          <w:p>
            <w:pPr>
              <w:pStyle w:val="Compact"/>
            </w:pPr>
            <w:r>
              <w:t xml:space="preserve">Encryption Requirement</w:t>
            </w:r>
          </w:p>
        </w:tc>
        <w:tc>
          <w:tcPr/>
          <w:p>
            <w:pPr>
              <w:pStyle w:val="Compact"/>
            </w:pPr>
            <w:r>
              <w:t xml:space="preserve">Access Control</w:t>
            </w:r>
          </w:p>
        </w:tc>
        <w:tc>
          <w:tcPr/>
          <w:p>
            <w:pPr>
              <w:pStyle w:val="Compact"/>
            </w:pPr>
            <w:r>
              <w:t xml:space="preserve">Audit Logging</w:t>
            </w:r>
          </w:p>
        </w:tc>
      </w:tr>
      <w:tr>
        <w:tc>
          <w:tcPr/>
          <w:p>
            <w:pPr>
              <w:pStyle w:val="Compact"/>
            </w:pPr>
            <w:r>
              <w:t xml:space="preserve">SSN (full)</w:t>
            </w:r>
          </w:p>
        </w:tc>
        <w:tc>
          <w:tcPr/>
          <w:p>
            <w:pPr>
              <w:pStyle w:val="Compact"/>
            </w:pPr>
            <w:r>
              <w:rPr>
                <w:rStyle w:val="VerbatimChar"/>
              </w:rPr>
              <w:t xml:space="preserve">Restricted-SSN</w:t>
            </w:r>
          </w:p>
        </w:tc>
        <w:tc>
          <w:tcPr/>
          <w:p>
            <w:pPr>
              <w:pStyle w:val="Compact"/>
            </w:pPr>
            <w:r>
              <w:t xml:space="preserve">AES-256 at rest; TLS 1.3 in transit; CMK-managed (Vol III Book 05 §4)</w:t>
            </w:r>
          </w:p>
        </w:tc>
        <w:tc>
          <w:tcPr/>
          <w:p>
            <w:pPr>
              <w:pStyle w:val="Compact"/>
            </w:pPr>
            <w:r>
              <w:t xml:space="preserve">Role-based; least privilege; MFA required; no service account access</w:t>
            </w:r>
          </w:p>
        </w:tc>
        <w:tc>
          <w:tcPr/>
          <w:p>
            <w:pPr>
              <w:pStyle w:val="Compact"/>
            </w:pPr>
            <w:r>
              <w:t xml:space="preserve">All reads and writes logged to Sentinel; 7-year retention</w:t>
            </w:r>
          </w:p>
        </w:tc>
      </w:tr>
      <w:tr>
        <w:tc>
          <w:tcPr/>
          <w:p>
            <w:pPr>
              <w:pStyle w:val="Compact"/>
            </w:pPr>
            <w:r>
              <w:t xml:space="preserve">SSN (masked — last 4)</w:t>
            </w:r>
          </w:p>
        </w:tc>
        <w:tc>
          <w:tcPr/>
          <w:p>
            <w:pPr>
              <w:pStyle w:val="Compact"/>
            </w:pPr>
            <w:r>
              <w:rPr>
                <w:rStyle w:val="VerbatimChar"/>
              </w:rPr>
              <w:t xml:space="preserve">Confidential-PII</w:t>
            </w:r>
          </w:p>
        </w:tc>
        <w:tc>
          <w:tcPr/>
          <w:p>
            <w:pPr>
              <w:pStyle w:val="Compact"/>
            </w:pPr>
            <w:r>
              <w:t xml:space="preserve">Standard GCC Moderate encryption</w:t>
            </w:r>
          </w:p>
        </w:tc>
        <w:tc>
          <w:tcPr/>
          <w:p>
            <w:pPr>
              <w:pStyle w:val="Compact"/>
            </w:pPr>
            <w:r>
              <w:t xml:space="preserve">Standard role-based</w:t>
            </w:r>
          </w:p>
        </w:tc>
        <w:tc>
          <w:tcPr/>
          <w:p>
            <w:pPr>
              <w:pStyle w:val="Compact"/>
            </w:pPr>
            <w:r>
              <w:t xml:space="preserve">Standard audit log</w:t>
            </w:r>
          </w:p>
        </w:tc>
      </w:tr>
      <w:tr>
        <w:tc>
          <w:tcPr/>
          <w:p>
            <w:pPr>
              <w:pStyle w:val="Compact"/>
            </w:pPr>
            <w:r>
              <w:t xml:space="preserve">Financial account numbers</w:t>
            </w:r>
          </w:p>
        </w:tc>
        <w:tc>
          <w:tcPr/>
          <w:p>
            <w:pPr>
              <w:pStyle w:val="Compact"/>
            </w:pPr>
            <w:r>
              <w:rPr>
                <w:rStyle w:val="VerbatimChar"/>
              </w:rPr>
              <w:t xml:space="preserve">Restricted-Financial</w:t>
            </w:r>
          </w:p>
        </w:tc>
        <w:tc>
          <w:tcPr/>
          <w:p>
            <w:pPr>
              <w:pStyle w:val="Compact"/>
            </w:pPr>
            <w:r>
              <w:t xml:space="preserve">AES-256 at rest; CMK-managed; never logged in plain text</w:t>
            </w:r>
          </w:p>
        </w:tc>
        <w:tc>
          <w:tcPr/>
          <w:p>
            <w:pPr>
              <w:pStyle w:val="Compact"/>
            </w:pPr>
            <w:r>
              <w:t xml:space="preserve">Payment processing roles only; dual-approval for changes</w:t>
            </w:r>
          </w:p>
        </w:tc>
        <w:tc>
          <w:tcPr/>
          <w:p>
            <w:pPr>
              <w:pStyle w:val="Compact"/>
            </w:pPr>
            <w:r>
              <w:t xml:space="preserve">All access logged; anomaly alert threshold: [N] accesses per day</w:t>
            </w:r>
          </w:p>
        </w:tc>
      </w:tr>
      <w:tr>
        <w:tc>
          <w:tcPr/>
          <w:p>
            <w:pPr>
              <w:pStyle w:val="Compact"/>
            </w:pPr>
            <w:r>
              <w:t xml:space="preserve">Medical / PHI records</w:t>
            </w:r>
          </w:p>
        </w:tc>
        <w:tc>
          <w:tcPr/>
          <w:p>
            <w:pPr>
              <w:pStyle w:val="Compact"/>
            </w:pPr>
            <w:r>
              <w:rPr>
                <w:rStyle w:val="VerbatimChar"/>
              </w:rPr>
              <w:t xml:space="preserve">Restricted-PHI</w:t>
            </w:r>
          </w:p>
        </w:tc>
        <w:tc>
          <w:tcPr/>
          <w:p>
            <w:pPr>
              <w:pStyle w:val="Compact"/>
            </w:pPr>
            <w:r>
              <w:t xml:space="preserve">AES-256 at rest; CMK-managed; column-level encryption for PHI fields</w:t>
            </w:r>
          </w:p>
        </w:tc>
        <w:tc>
          <w:tcPr/>
          <w:p>
            <w:pPr>
              <w:pStyle w:val="Compact"/>
            </w:pPr>
            <w:r>
              <w:t xml:space="preserve">Medical review roles only; adjudicators scoped to assigned cases</w:t>
            </w:r>
          </w:p>
        </w:tc>
        <w:tc>
          <w:tcPr/>
          <w:p>
            <w:pPr>
              <w:pStyle w:val="Compact"/>
            </w:pPr>
            <w:r>
              <w:t xml:space="preserve">All PHI access logged; HIPAA-compliant audit trail; 6-year retention</w:t>
            </w:r>
          </w:p>
        </w:tc>
      </w:tr>
      <w:tr>
        <w:tc>
          <w:tcPr/>
          <w:p>
            <w:pPr>
              <w:pStyle w:val="Compact"/>
            </w:pPr>
            <w:r>
              <w:t xml:space="preserve">Biometric data</w:t>
            </w:r>
          </w:p>
        </w:tc>
        <w:tc>
          <w:tcPr/>
          <w:p>
            <w:pPr>
              <w:pStyle w:val="Compact"/>
            </w:pPr>
            <w:r>
              <w:rPr>
                <w:rStyle w:val="VerbatimChar"/>
              </w:rPr>
              <w:t xml:space="preserve">Restricted-Biometric</w:t>
            </w:r>
          </w:p>
        </w:tc>
        <w:tc>
          <w:tcPr/>
          <w:p>
            <w:pPr>
              <w:pStyle w:val="Compact"/>
            </w:pPr>
            <w:r>
              <w:t xml:space="preserve">AES-256 at rest; at-rest encryption separate from application encryption</w:t>
            </w:r>
          </w:p>
        </w:tc>
        <w:tc>
          <w:tcPr/>
          <w:p>
            <w:pPr>
              <w:pStyle w:val="Compact"/>
            </w:pPr>
            <w:r>
              <w:t xml:space="preserve">Biometric system service account only; no human read access to raw data</w:t>
            </w:r>
          </w:p>
        </w:tc>
        <w:tc>
          <w:tcPr/>
          <w:p>
            <w:pPr>
              <w:pStyle w:val="Compact"/>
            </w:pPr>
            <w:r>
              <w:t xml:space="preserve">All access logged; alert on any human read of raw biometric</w:t>
            </w:r>
          </w:p>
        </w:tc>
      </w:tr>
      <w:tr>
        <w:tc>
          <w:tcPr/>
          <w:p>
            <w:pPr>
              <w:pStyle w:val="Compact"/>
            </w:pPr>
            <w:r>
              <w:t xml:space="preserve">Geolocation (if collected)</w:t>
            </w:r>
          </w:p>
        </w:tc>
        <w:tc>
          <w:tcPr/>
          <w:p>
            <w:pPr>
              <w:pStyle w:val="Compact"/>
            </w:pPr>
            <w:r>
              <w:rPr>
                <w:rStyle w:val="VerbatimChar"/>
              </w:rPr>
              <w:t xml:space="preserve">Confidential-PII</w:t>
            </w:r>
          </w:p>
        </w:tc>
        <w:tc>
          <w:tcPr/>
          <w:p>
            <w:pPr>
              <w:pStyle w:val="Compact"/>
            </w:pPr>
            <w:r>
              <w:t xml:space="preserve">Standard GCC Moderate</w:t>
            </w:r>
          </w:p>
        </w:tc>
        <w:tc>
          <w:tcPr/>
          <w:p>
            <w:pPr>
              <w:pStyle w:val="Compact"/>
            </w:pPr>
            <w:r>
              <w:t xml:space="preserve">Limited to fraud analytics roles</w:t>
            </w:r>
          </w:p>
        </w:tc>
        <w:tc>
          <w:tcPr/>
          <w:p>
            <w:pPr>
              <w:pStyle w:val="Compact"/>
            </w:pPr>
            <w:r>
              <w:t xml:space="preserve">All reads logged</w:t>
            </w:r>
          </w:p>
        </w:tc>
      </w:tr>
      <w:tr>
        <w:tc>
          <w:tcPr/>
          <w:p>
            <w:pPr>
              <w:pStyle w:val="Compact"/>
            </w:pPr>
            <w:r>
              <w:t xml:space="preserve">Citizenship / immigration status</w:t>
            </w:r>
          </w:p>
        </w:tc>
        <w:tc>
          <w:tcPr/>
          <w:p>
            <w:pPr>
              <w:pStyle w:val="Compact"/>
            </w:pPr>
            <w:r>
              <w:rPr>
                <w:rStyle w:val="VerbatimChar"/>
              </w:rPr>
              <w:t xml:space="preserve">Restricted-Sensitive</w:t>
            </w:r>
          </w:p>
        </w:tc>
        <w:tc>
          <w:tcPr/>
          <w:p>
            <w:pPr>
              <w:pStyle w:val="Compact"/>
            </w:pPr>
            <w:r>
              <w:t xml:space="preserve">AES-256 at rest; CMK-managed</w:t>
            </w:r>
          </w:p>
        </w:tc>
        <w:tc>
          <w:tcPr/>
          <w:p>
            <w:pPr>
              <w:pStyle w:val="Compact"/>
            </w:pPr>
            <w:r>
              <w:t xml:space="preserve">Need-to-know; no bulk export; legal review for sharing</w:t>
            </w:r>
          </w:p>
        </w:tc>
        <w:tc>
          <w:tcPr/>
          <w:p>
            <w:pPr>
              <w:pStyle w:val="Compact"/>
            </w:pPr>
            <w:r>
              <w:t xml:space="preserve">All access logged; alert on bulk export</w:t>
            </w:r>
          </w:p>
        </w:tc>
      </w:tr>
    </w:tbl>
    <w:bookmarkEnd w:id="159"/>
    <w:bookmarkStart w:id="160" w:name="phi-subset-hipaa-applicability"/>
    <w:p>
      <w:pPr>
        <w:pStyle w:val="Heading2"/>
      </w:pPr>
      <w:r>
        <w:t xml:space="preserve">PHI Subset — HIPAA Applicability</w:t>
      </w:r>
    </w:p>
    <w:p>
      <w:pPr>
        <w:pStyle w:val="FirstParagraph"/>
      </w:pPr>
      <w:r>
        <w:t xml:space="preserve">Agency systems that process health information in connection with Medicare Part B</w:t>
      </w:r>
      <w:r>
        <w:t xml:space="preserve"> </w:t>
      </w:r>
      <w:r>
        <w:t xml:space="preserve">coordination (CMS data exchanges), disability determination (medical records),</w:t>
      </w:r>
      <w:r>
        <w:t xml:space="preserve"> </w:t>
      </w:r>
      <w:r>
        <w:t xml:space="preserve">or employee health programs are subject to HIPAA where Agency acts as a covered</w:t>
      </w:r>
      <w:r>
        <w:t xml:space="preserve"> </w:t>
      </w:r>
      <w:r>
        <w:t xml:space="preserve">entity or business associate.</w:t>
      </w:r>
    </w:p>
    <w:p>
      <w:pPr>
        <w:pStyle w:val="BodyText"/>
      </w:pPr>
      <w:r>
        <w:rPr>
          <w:b/>
          <w:bCs/>
        </w:rPr>
        <w:t xml:space="preserve">HIPAA Applicability Determination:</w:t>
      </w:r>
    </w:p>
    <w:p>
      <w:pPr>
        <w:pStyle w:val="BlockText"/>
      </w:pPr>
      <w:r>
        <w:t xml:space="preserve">[FILLABLE] Complete a HIPAA applicability determination for each data flow</w:t>
      </w:r>
      <w:r>
        <w:t xml:space="preserve"> </w:t>
      </w:r>
      <w:r>
        <w:t xml:space="preserve">involving health information. Document in the data flow map (§8) whether</w:t>
      </w:r>
      <w:r>
        <w:t xml:space="preserve"> </w:t>
      </w:r>
      <w:r>
        <w:t xml:space="preserve">Agency is acting as a covered entity, business associate, or neither for each</w:t>
      </w:r>
      <w:r>
        <w:t xml:space="preserve"> </w:t>
      </w:r>
      <w:r>
        <w:t xml:space="preserve">flow. If HIPAA applies, the Business Associate Agreement (BAA) with [CSP /</w:t>
      </w:r>
      <w:r>
        <w:t xml:space="preserve"> </w:t>
      </w:r>
      <w:r>
        <w:t xml:space="preserve">AZURE] must be on file. Reference Vol III Book 05 §5 for the Azure BAA status under</w:t>
      </w:r>
      <w:r>
        <w:t xml:space="preserve"> </w:t>
      </w:r>
      <w:r>
        <w:t xml:space="preserve">the GCC Moderate agreement.</w:t>
      </w:r>
    </w:p>
    <w:bookmarkEnd w:id="160"/>
    <w:bookmarkStart w:id="161" w:name="ssn-handling-omb-m-17-12-requirements"/>
    <w:p>
      <w:pPr>
        <w:pStyle w:val="Heading2"/>
      </w:pPr>
      <w:r>
        <w:t xml:space="preserve">SSN Handling — OMB M-17-12 Requirements</w:t>
      </w:r>
    </w:p>
    <w:p>
      <w:pPr>
        <w:pStyle w:val="FirstParagraph"/>
      </w:pPr>
      <w:r>
        <w:t xml:space="preserve">OMB Memorandum M-17-12 imposes specific requirements on SSN use and exposure:</w:t>
      </w:r>
    </w:p>
    <w:p>
      <w:pPr>
        <w:pStyle w:val="Compact"/>
        <w:numPr>
          <w:ilvl w:val="0"/>
          <w:numId w:val="1040"/>
        </w:numPr>
      </w:pPr>
      <w:r>
        <w:rPr>
          <w:b/>
          <w:bCs/>
        </w:rPr>
        <w:t xml:space="preserve">SSN as Identifier:</w:t>
      </w:r>
      <w:r>
        <w:t xml:space="preserve"> </w:t>
      </w:r>
      <w:r>
        <w:t xml:space="preserve">Agencies must eliminate unnecessary use of SSN as a</w:t>
      </w:r>
      <w:r>
        <w:t xml:space="preserve"> </w:t>
      </w:r>
      <w:r>
        <w:t xml:space="preserve">system identifier where an alternative identifier is available</w:t>
      </w:r>
    </w:p>
    <w:p>
      <w:pPr>
        <w:pStyle w:val="Compact"/>
        <w:numPr>
          <w:ilvl w:val="0"/>
          <w:numId w:val="1040"/>
        </w:numPr>
      </w:pPr>
      <w:r>
        <w:rPr>
          <w:b/>
          <w:bCs/>
        </w:rPr>
        <w:t xml:space="preserve">Truncation Policy:</w:t>
      </w:r>
      <w:r>
        <w:t xml:space="preserve"> </w:t>
      </w:r>
      <w:r>
        <w:t xml:space="preserve">When SSNs must be displayed, display only the last</w:t>
      </w:r>
      <w:r>
        <w:t xml:space="preserve"> </w:t>
      </w:r>
      <w:r>
        <w:t xml:space="preserve">four digits (XXX-XX-1234) except where full SSN is operationally required</w:t>
      </w:r>
    </w:p>
    <w:p>
      <w:pPr>
        <w:pStyle w:val="Compact"/>
        <w:numPr>
          <w:ilvl w:val="0"/>
          <w:numId w:val="1040"/>
        </w:numPr>
      </w:pPr>
      <w:r>
        <w:rPr>
          <w:b/>
          <w:bCs/>
        </w:rPr>
        <w:t xml:space="preserve">Collection Minimization:</w:t>
      </w:r>
      <w:r>
        <w:t xml:space="preserve"> </w:t>
      </w:r>
      <w:r>
        <w:t xml:space="preserve">Do not collect SSN if the statutory authority</w:t>
      </w:r>
      <w:r>
        <w:t xml:space="preserve"> </w:t>
      </w:r>
      <w:r>
        <w:t xml:space="preserve">does not require it; document in PT-2 the specific authority for each</w:t>
      </w:r>
      <w:r>
        <w:t xml:space="preserve"> </w:t>
      </w:r>
      <w:r>
        <w:t xml:space="preserve">collection point</w:t>
      </w:r>
    </w:p>
    <w:p>
      <w:pPr>
        <w:pStyle w:val="Compact"/>
        <w:numPr>
          <w:ilvl w:val="0"/>
          <w:numId w:val="1040"/>
        </w:numPr>
      </w:pPr>
      <w:r>
        <w:rPr>
          <w:b/>
          <w:bCs/>
        </w:rPr>
        <w:t xml:space="preserve">Breach Response:</w:t>
      </w:r>
      <w:r>
        <w:t xml:space="preserve"> </w:t>
      </w:r>
      <w:r>
        <w:t xml:space="preserve">SSN exposure triggers OMB M-17-12 breach notification</w:t>
      </w:r>
      <w:r>
        <w:t xml:space="preserve"> </w:t>
      </w:r>
      <w:r>
        <w:t xml:space="preserve">procedures; see the Breach Response SOP (reference Vol IV Book 03 §5 for incident</w:t>
      </w:r>
      <w:r>
        <w:t xml:space="preserve"> </w:t>
      </w:r>
      <w:r>
        <w:t xml:space="preserve">management framework)</w:t>
      </w:r>
    </w:p>
    <w:p>
      <w:pPr>
        <w:pStyle w:val="FirstParagraph"/>
      </w:pPr>
      <w:r>
        <w:rPr>
          <w:b/>
          <w:bCs/>
        </w:rPr>
        <w:t xml:space="preserve">SSN Masking Policy for [SYSTEM NAME]:</w:t>
      </w:r>
    </w:p>
    <w:p>
      <w:pPr>
        <w:pStyle w:val="BlockText"/>
      </w:pPr>
      <w:r>
        <w:t xml:space="preserve">[FILLABLE] Document where in the system SSNs are displayed and confirm</w:t>
      </w:r>
      <w:r>
        <w:t xml:space="preserve"> </w:t>
      </w:r>
      <w:r>
        <w:t xml:space="preserve">that each display point uses masked format. Example:</w:t>
      </w:r>
    </w:p>
    <w:tbl>
      <w:tblPr>
        <w:tblStyle w:val="Table"/>
        <w:tblW w:type="pct" w:w="5000"/>
        <w:tblLayout w:type="fixed"/>
        <w:tblLook w:firstRow="1" w:lastRow="0" w:firstColumn="0" w:lastColumn="0" w:noHBand="0" w:noVBand="0" w:val="0020"/>
      </w:tblPr>
      <w:tblGrid>
        <w:gridCol w:w="2040"/>
        <w:gridCol w:w="1560"/>
        <w:gridCol w:w="2520"/>
        <w:gridCol w:w="1800"/>
      </w:tblGrid>
      <w:tr>
        <w:trPr>
          <w:tblHeader w:val="on"/>
        </w:trPr>
        <w:tc>
          <w:tcPr/>
          <w:p>
            <w:pPr>
              <w:pStyle w:val="Compact"/>
            </w:pPr>
            <w:r>
              <w:t xml:space="preserve">Display Location</w:t>
            </w:r>
          </w:p>
        </w:tc>
        <w:tc>
          <w:tcPr/>
          <w:p>
            <w:pPr>
              <w:pStyle w:val="Compact"/>
            </w:pPr>
            <w:r>
              <w:t xml:space="preserve">Format Used</w:t>
            </w:r>
          </w:p>
        </w:tc>
        <w:tc>
          <w:tcPr/>
          <w:p>
            <w:pPr>
              <w:pStyle w:val="Compact"/>
            </w:pPr>
            <w:r>
              <w:t xml:space="preserve">Full SSN Accessible?</w:t>
            </w:r>
          </w:p>
        </w:tc>
        <w:tc>
          <w:tcPr/>
          <w:p>
            <w:pPr>
              <w:pStyle w:val="Compact"/>
            </w:pPr>
            <w:r>
              <w:t xml:space="preserve">Justification</w:t>
            </w:r>
          </w:p>
        </w:tc>
      </w:tr>
      <w:tr>
        <w:tc>
          <w:tcPr/>
          <w:p>
            <w:pPr>
              <w:pStyle w:val="Compact"/>
            </w:pPr>
            <w:r>
              <w:t xml:space="preserve">Citizen portal account page</w:t>
            </w:r>
          </w:p>
        </w:tc>
        <w:tc>
          <w:tcPr/>
          <w:p>
            <w:pPr>
              <w:pStyle w:val="Compact"/>
            </w:pPr>
            <w:r>
              <w:t xml:space="preserve">Last 4 digits only</w:t>
            </w:r>
          </w:p>
        </w:tc>
        <w:tc>
          <w:tcPr/>
          <w:p>
            <w:pPr>
              <w:pStyle w:val="Compact"/>
            </w:pPr>
            <w:r>
              <w:t xml:space="preserve">No</w:t>
            </w:r>
          </w:p>
        </w:tc>
        <w:tc>
          <w:tcPr/>
          <w:p>
            <w:pPr>
              <w:pStyle w:val="Compact"/>
            </w:pPr>
            <w:r>
              <w:t xml:space="preserve">Identity confirmation only</w:t>
            </w:r>
          </w:p>
        </w:tc>
      </w:tr>
      <w:tr>
        <w:tc>
          <w:tcPr/>
          <w:p>
            <w:pPr>
              <w:pStyle w:val="Compact"/>
            </w:pPr>
            <w:r>
              <w:t xml:space="preserve">Case worker UI — case header</w:t>
            </w:r>
          </w:p>
        </w:tc>
        <w:tc>
          <w:tcPr/>
          <w:p>
            <w:pPr>
              <w:pStyle w:val="Compact"/>
            </w:pPr>
            <w:r>
              <w:t xml:space="preserve">Last 4 digits only</w:t>
            </w:r>
          </w:p>
        </w:tc>
        <w:tc>
          <w:tcPr/>
          <w:p>
            <w:pPr>
              <w:pStyle w:val="Compact"/>
            </w:pPr>
            <w:r>
              <w:t xml:space="preserve">No</w:t>
            </w:r>
          </w:p>
        </w:tc>
        <w:tc>
          <w:tcPr/>
          <w:p>
            <w:pPr>
              <w:pStyle w:val="Compact"/>
            </w:pPr>
            <w:r>
              <w:t xml:space="preserve">Case association only</w:t>
            </w:r>
          </w:p>
        </w:tc>
      </w:tr>
      <w:tr>
        <w:tc>
          <w:tcPr/>
          <w:p>
            <w:pPr>
              <w:pStyle w:val="Compact"/>
            </w:pPr>
            <w:r>
              <w:t xml:space="preserve">Case worker UI — identity verification screen</w:t>
            </w:r>
          </w:p>
        </w:tc>
        <w:tc>
          <w:tcPr/>
          <w:p>
            <w:pPr>
              <w:pStyle w:val="Compact"/>
            </w:pPr>
            <w:r>
              <w:t xml:space="preserve">Full SSN</w:t>
            </w:r>
          </w:p>
        </w:tc>
        <w:tc>
          <w:tcPr/>
          <w:p>
            <w:pPr>
              <w:pStyle w:val="Compact"/>
            </w:pPr>
            <w:r>
              <w:t xml:space="preserve">Yes — role required</w:t>
            </w:r>
          </w:p>
        </w:tc>
        <w:tc>
          <w:tcPr/>
          <w:p>
            <w:pPr>
              <w:pStyle w:val="Compact"/>
            </w:pPr>
            <w:r>
              <w:t xml:space="preserve">Statutory identity match requirement</w:t>
            </w:r>
          </w:p>
        </w:tc>
      </w:tr>
      <w:tr>
        <w:tc>
          <w:tcPr/>
          <w:p>
            <w:pPr>
              <w:pStyle w:val="Compact"/>
            </w:pPr>
            <w:r>
              <w:t xml:space="preserve">API response (external)</w:t>
            </w:r>
          </w:p>
        </w:tc>
        <w:tc>
          <w:tcPr/>
          <w:p>
            <w:pPr>
              <w:pStyle w:val="Compact"/>
            </w:pPr>
            <w:r>
              <w:t xml:space="preserve">Never included</w:t>
            </w:r>
          </w:p>
        </w:tc>
        <w:tc>
          <w:tcPr/>
          <w:p>
            <w:pPr>
              <w:pStyle w:val="Compact"/>
            </w:pPr>
            <w:r>
              <w:t xml:space="preserve">N/A</w:t>
            </w:r>
          </w:p>
        </w:tc>
        <w:tc>
          <w:tcPr/>
          <w:p>
            <w:pPr>
              <w:pStyle w:val="Compact"/>
            </w:pPr>
            <w:r>
              <w:t xml:space="preserve">Excluded from all API schemas</w:t>
            </w:r>
          </w:p>
        </w:tc>
      </w:tr>
    </w:tbl>
    <w:bookmarkEnd w:id="161"/>
    <w:bookmarkStart w:id="162" w:name="X10bded3312b5d585e9f5ca8ea25b7ead3a4079b"/>
    <w:p>
      <w:pPr>
        <w:pStyle w:val="Heading2"/>
      </w:pPr>
      <w:r>
        <w:t xml:space="preserve">Purview Auto-Labeling for Special Categories</w:t>
      </w:r>
    </w:p>
    <w:p>
      <w:pPr>
        <w:pStyle w:val="FirstParagraph"/>
      </w:pPr>
      <w:r>
        <w:t xml:space="preserve">Vol III Book 05 §6 established auto-labeling rules in Microsoft Purview. The following</w:t>
      </w:r>
      <w:r>
        <w:t xml:space="preserve"> </w:t>
      </w:r>
      <w:r>
        <w:t xml:space="preserve">rules apply to special categories under PT-7:</w:t>
      </w:r>
    </w:p>
    <w:tbl>
      <w:tblPr>
        <w:tblStyle w:val="Table"/>
        <w:tblW w:type="pct" w:w="5000"/>
        <w:tblLayout w:type="fixed"/>
        <w:tblLook w:firstRow="1" w:lastRow="0" w:firstColumn="0" w:lastColumn="0" w:noHBand="0" w:noVBand="0" w:val="0020"/>
      </w:tblPr>
      <w:tblGrid>
        <w:gridCol w:w="1923"/>
        <w:gridCol w:w="2149"/>
        <w:gridCol w:w="2149"/>
        <w:gridCol w:w="1697"/>
      </w:tblGrid>
      <w:tr>
        <w:trPr>
          <w:tblHeader w:val="on"/>
        </w:trPr>
        <w:tc>
          <w:tcPr/>
          <w:p>
            <w:pPr>
              <w:pStyle w:val="Compact"/>
            </w:pPr>
            <w:r>
              <w:t xml:space="preserve">Special Category</w:t>
            </w:r>
          </w:p>
        </w:tc>
        <w:tc>
          <w:tcPr/>
          <w:p>
            <w:pPr>
              <w:pStyle w:val="Compact"/>
            </w:pPr>
            <w:r>
              <w:t xml:space="preserve">Purview Classifier</w:t>
            </w:r>
          </w:p>
        </w:tc>
        <w:tc>
          <w:tcPr/>
          <w:p>
            <w:pPr>
              <w:pStyle w:val="Compact"/>
            </w:pPr>
            <w:r>
              <w:t xml:space="preserve">Auto-Label Applied</w:t>
            </w:r>
          </w:p>
        </w:tc>
        <w:tc>
          <w:tcPr/>
          <w:p>
            <w:pPr>
              <w:pStyle w:val="Compact"/>
            </w:pPr>
            <w:r>
              <w:t xml:space="preserve">Policy Action</w:t>
            </w:r>
          </w:p>
        </w:tc>
      </w:tr>
      <w:tr>
        <w:tc>
          <w:tcPr/>
          <w:p>
            <w:pPr>
              <w:pStyle w:val="Compact"/>
            </w:pPr>
            <w:r>
              <w:t xml:space="preserve">SSN pattern</w:t>
            </w:r>
          </w:p>
        </w:tc>
        <w:tc>
          <w:tcPr/>
          <w:p>
            <w:pPr>
              <w:pStyle w:val="Compact"/>
            </w:pPr>
            <w:r>
              <w:t xml:space="preserve">Built-in: U.S. SSN</w:t>
            </w:r>
          </w:p>
        </w:tc>
        <w:tc>
          <w:tcPr/>
          <w:p>
            <w:pPr>
              <w:pStyle w:val="Compact"/>
            </w:pPr>
            <w:r>
              <w:rPr>
                <w:rStyle w:val="VerbatimChar"/>
              </w:rPr>
              <w:t xml:space="preserve">Restricted-SSN</w:t>
            </w:r>
          </w:p>
        </w:tc>
        <w:tc>
          <w:tcPr/>
          <w:p>
            <w:pPr>
              <w:pStyle w:val="Compact"/>
            </w:pPr>
            <w:r>
              <w:t xml:space="preserve">Block external sharing; require justification for download</w:t>
            </w:r>
          </w:p>
        </w:tc>
      </w:tr>
      <w:tr>
        <w:tc>
          <w:tcPr/>
          <w:p>
            <w:pPr>
              <w:pStyle w:val="Compact"/>
            </w:pPr>
            <w:r>
              <w:t xml:space="preserve">Credit/debit card numbers</w:t>
            </w:r>
          </w:p>
        </w:tc>
        <w:tc>
          <w:tcPr/>
          <w:p>
            <w:pPr>
              <w:pStyle w:val="Compact"/>
            </w:pPr>
            <w:r>
              <w:t xml:space="preserve">Built-in: Credit Card Number</w:t>
            </w:r>
          </w:p>
        </w:tc>
        <w:tc>
          <w:tcPr/>
          <w:p>
            <w:pPr>
              <w:pStyle w:val="Compact"/>
            </w:pPr>
            <w:r>
              <w:rPr>
                <w:rStyle w:val="VerbatimChar"/>
              </w:rPr>
              <w:t xml:space="preserve">Restricted-Financial</w:t>
            </w:r>
          </w:p>
        </w:tc>
        <w:tc>
          <w:tcPr/>
          <w:p>
            <w:pPr>
              <w:pStyle w:val="Compact"/>
            </w:pPr>
            <w:r>
              <w:t xml:space="preserve">Block external sharing; DLP alert</w:t>
            </w:r>
          </w:p>
        </w:tc>
      </w:tr>
      <w:tr>
        <w:tc>
          <w:tcPr/>
          <w:p>
            <w:pPr>
              <w:pStyle w:val="Compact"/>
            </w:pPr>
            <w:r>
              <w:t xml:space="preserve">Medical terms + patient context</w:t>
            </w:r>
          </w:p>
        </w:tc>
        <w:tc>
          <w:tcPr/>
          <w:p>
            <w:pPr>
              <w:pStyle w:val="Compact"/>
            </w:pPr>
            <w:r>
              <w:t xml:space="preserve">Trainable classifier: PHI</w:t>
            </w:r>
          </w:p>
        </w:tc>
        <w:tc>
          <w:tcPr/>
          <w:p>
            <w:pPr>
              <w:pStyle w:val="Compact"/>
            </w:pPr>
            <w:r>
              <w:rPr>
                <w:rStyle w:val="VerbatimChar"/>
              </w:rPr>
              <w:t xml:space="preserve">Restricted-PHI</w:t>
            </w:r>
          </w:p>
        </w:tc>
        <w:tc>
          <w:tcPr/>
          <w:p>
            <w:pPr>
              <w:pStyle w:val="Compact"/>
            </w:pPr>
            <w:r>
              <w:t xml:space="preserve">Block external sharing; require HIPAA workflow</w:t>
            </w:r>
          </w:p>
        </w:tc>
      </w:tr>
      <w:tr>
        <w:tc>
          <w:tcPr/>
          <w:p>
            <w:pPr>
              <w:pStyle w:val="Compact"/>
            </w:pPr>
            <w:r>
              <w:t xml:space="preserve">Passport / visa numbers</w:t>
            </w:r>
          </w:p>
        </w:tc>
        <w:tc>
          <w:tcPr/>
          <w:p>
            <w:pPr>
              <w:pStyle w:val="Compact"/>
            </w:pPr>
            <w:r>
              <w:t xml:space="preserve">Built-in: U.S. Passport</w:t>
            </w:r>
          </w:p>
        </w:tc>
        <w:tc>
          <w:tcPr/>
          <w:p>
            <w:pPr>
              <w:pStyle w:val="Compact"/>
            </w:pPr>
            <w:r>
              <w:rPr>
                <w:rStyle w:val="VerbatimChar"/>
              </w:rPr>
              <w:t xml:space="preserve">Restricted-Sensitive</w:t>
            </w:r>
          </w:p>
        </w:tc>
        <w:tc>
          <w:tcPr/>
          <w:p>
            <w:pPr>
              <w:pStyle w:val="Compact"/>
            </w:pPr>
            <w:r>
              <w:t xml:space="preserve">Block external sharing</w:t>
            </w:r>
          </w:p>
        </w:tc>
      </w:tr>
      <w:tr>
        <w:tc>
          <w:tcPr/>
          <w:p>
            <w:pPr>
              <w:pStyle w:val="Compact"/>
            </w:pPr>
            <w:r>
              <w:t xml:space="preserve">[CUSTOM CATEGORY]</w:t>
            </w:r>
          </w:p>
        </w:tc>
        <w:tc>
          <w:tcPr/>
          <w:p>
            <w:pPr>
              <w:pStyle w:val="Compact"/>
            </w:pPr>
            <w:r>
              <w:t xml:space="preserve">[CLASSIFIER]</w:t>
            </w:r>
          </w:p>
        </w:tc>
        <w:tc>
          <w:tcPr/>
          <w:p>
            <w:pPr>
              <w:pStyle w:val="Compact"/>
            </w:pPr>
            <w:r>
              <w:t xml:space="preserve">[LABEL]</w:t>
            </w:r>
          </w:p>
        </w:tc>
        <w:tc>
          <w:tcPr/>
          <w:p>
            <w:pPr>
              <w:pStyle w:val="Compact"/>
            </w:pPr>
            <w:r>
              <w:t xml:space="preserve">[ACTION]</w:t>
            </w:r>
          </w:p>
        </w:tc>
      </w:tr>
    </w:tbl>
    <w:p>
      <w:r>
        <w:pict>
          <v:rect style="width:0;height:1.5pt" o:hralign="center" o:hrstd="t" o:hr="t"/>
        </w:pict>
      </w:r>
    </w:p>
    <w:bookmarkEnd w:id="162"/>
    <w:bookmarkEnd w:id="163"/>
    <w:bookmarkStart w:id="168" w:name="pii-data-flow-map-template"/>
    <w:p>
      <w:pPr>
        <w:pStyle w:val="Heading1"/>
      </w:pPr>
      <w:r>
        <w:t xml:space="preserve">PII Data Flow Map Template</w:t>
      </w:r>
    </w:p>
    <w:bookmarkStart w:id="164" w:name="template-purpose"/>
    <w:p>
      <w:pPr>
        <w:pStyle w:val="Heading2"/>
      </w:pPr>
      <w:r>
        <w:t xml:space="preserve">Template Purpose</w:t>
      </w:r>
    </w:p>
    <w:p>
      <w:pPr>
        <w:pStyle w:val="FirstParagraph"/>
      </w:pPr>
      <w:r>
        <w:t xml:space="preserve">PT-2 through PT-7 collectively require the agency to</w:t>
      </w:r>
      <w:r>
        <w:t xml:space="preserve"> </w:t>
      </w:r>
      <w:r>
        <w:rPr>
          <w:i/>
          <w:iCs/>
        </w:rPr>
        <w:t xml:space="preserve">know where its PII is</w:t>
      </w:r>
      <w:r>
        <w:t xml:space="preserve">.</w:t>
      </w:r>
      <w:r>
        <w:t xml:space="preserve"> </w:t>
      </w:r>
      <w:r>
        <w:t xml:space="preserve">The data flow map is the single artifact that makes that knowledge auditable.</w:t>
      </w:r>
      <w:r>
        <w:t xml:space="preserve"> </w:t>
      </w:r>
      <w:r>
        <w:t xml:space="preserve">It must be maintained current and reviewed at each annual privacy assessment.</w:t>
      </w:r>
      <w:r>
        <w:t xml:space="preserve"> </w:t>
      </w:r>
      <w:r>
        <w:t xml:space="preserve">Microsoft Purview Data Map lineage (Vol III Book 05 §3) provides automated discovery of</w:t>
      </w:r>
      <w:r>
        <w:t xml:space="preserve"> </w:t>
      </w:r>
      <w:r>
        <w:t xml:space="preserve">data flows; this template captures the authoritative human-reviewed record.</w:t>
      </w:r>
    </w:p>
    <w:bookmarkEnd w:id="164"/>
    <w:bookmarkStart w:id="165" w:name="pii-data-flow-registry"/>
    <w:p>
      <w:pPr>
        <w:pStyle w:val="Heading2"/>
      </w:pPr>
      <w:r>
        <w:t xml:space="preserve">PII Data Flow Registry</w:t>
      </w:r>
    </w:p>
    <w:p>
      <w:pPr>
        <w:pStyle w:val="BlockText"/>
      </w:pPr>
      <w:r>
        <w:t xml:space="preserve">[FILLABLE] Assign a unique Flow ID to each PII data flow in the system.</w:t>
      </w:r>
      <w:r>
        <w:t xml:space="preserve"> </w:t>
      </w:r>
      <w:r>
        <w:t xml:space="preserve">Every row represents one discrete flow of PII from source to destination.</w:t>
      </w:r>
      <w:r>
        <w:t xml:space="preserve"> </w:t>
      </w:r>
      <w:r>
        <w:t xml:space="preserve">Review against Purview lineage scan results to identify undocumented flows.</w:t>
      </w:r>
    </w:p>
    <w:tbl>
      <w:tblPr>
        <w:tblStyle w:val="Table"/>
        <w:tblW w:type="pct" w:w="5000"/>
        <w:tblLayout w:type="fixed"/>
        <w:tblLook w:firstRow="1" w:lastRow="0" w:firstColumn="0" w:lastColumn="0" w:noHBand="0" w:noVBand="0" w:val="0020"/>
      </w:tblPr>
      <w:tblGrid>
        <w:gridCol w:w="442"/>
        <w:gridCol w:w="688"/>
        <w:gridCol w:w="737"/>
        <w:gridCol w:w="934"/>
        <w:gridCol w:w="639"/>
        <w:gridCol w:w="787"/>
        <w:gridCol w:w="1082"/>
        <w:gridCol w:w="934"/>
        <w:gridCol w:w="836"/>
        <w:gridCol w:w="836"/>
      </w:tblGrid>
      <w:tr>
        <w:trPr>
          <w:tblHeader w:val="on"/>
        </w:trPr>
        <w:tc>
          <w:tcPr/>
          <w:p>
            <w:pPr>
              <w:pStyle w:val="Compact"/>
            </w:pPr>
            <w:r>
              <w:t xml:space="preserve">Flow ID</w:t>
            </w:r>
          </w:p>
        </w:tc>
        <w:tc>
          <w:tcPr/>
          <w:p>
            <w:pPr>
              <w:pStyle w:val="Compact"/>
            </w:pPr>
            <w:r>
              <w:t xml:space="preserve">Source System</w:t>
            </w:r>
          </w:p>
        </w:tc>
        <w:tc>
          <w:tcPr/>
          <w:p>
            <w:pPr>
              <w:pStyle w:val="Compact"/>
            </w:pPr>
            <w:r>
              <w:t xml:space="preserve">PII Categories</w:t>
            </w:r>
          </w:p>
        </w:tc>
        <w:tc>
          <w:tcPr/>
          <w:p>
            <w:pPr>
              <w:pStyle w:val="Compact"/>
            </w:pPr>
            <w:r>
              <w:t xml:space="preserve">Processing Purpose</w:t>
            </w:r>
          </w:p>
        </w:tc>
        <w:tc>
          <w:tcPr/>
          <w:p>
            <w:pPr>
              <w:pStyle w:val="Compact"/>
            </w:pPr>
            <w:r>
              <w:t xml:space="preserve">Destination</w:t>
            </w:r>
          </w:p>
        </w:tc>
        <w:tc>
          <w:tcPr/>
          <w:p>
            <w:pPr>
              <w:pStyle w:val="Compact"/>
            </w:pPr>
            <w:r>
              <w:t xml:space="preserve">Cross-Boundary?</w:t>
            </w:r>
          </w:p>
        </w:tc>
        <w:tc>
          <w:tcPr/>
          <w:p>
            <w:pPr>
              <w:pStyle w:val="Compact"/>
            </w:pPr>
            <w:r>
              <w:t xml:space="preserve">Encryption In Transit</w:t>
            </w:r>
          </w:p>
        </w:tc>
        <w:tc>
          <w:tcPr/>
          <w:p>
            <w:pPr>
              <w:pStyle w:val="Compact"/>
            </w:pPr>
            <w:r>
              <w:t xml:space="preserve">Encryption At Rest</w:t>
            </w:r>
          </w:p>
        </w:tc>
        <w:tc>
          <w:tcPr/>
          <w:p>
            <w:pPr>
              <w:pStyle w:val="Compact"/>
            </w:pPr>
            <w:r>
              <w:t xml:space="preserve">Retention Period</w:t>
            </w:r>
          </w:p>
        </w:tc>
        <w:tc>
          <w:tcPr/>
          <w:p>
            <w:pPr>
              <w:pStyle w:val="Compact"/>
            </w:pPr>
            <w:r>
              <w:t xml:space="preserve">Disposal Method</w:t>
            </w:r>
          </w:p>
        </w:tc>
      </w:tr>
      <w:tr>
        <w:tc>
          <w:tcPr/>
          <w:p>
            <w:pPr>
              <w:pStyle w:val="Compact"/>
            </w:pPr>
            <w:r>
              <w:t xml:space="preserve">DFL-001</w:t>
            </w:r>
          </w:p>
        </w:tc>
        <w:tc>
          <w:tcPr/>
          <w:p>
            <w:pPr>
              <w:pStyle w:val="Compact"/>
            </w:pPr>
            <w:r>
              <w:t xml:space="preserve">Citizen portal (intake form)</w:t>
            </w:r>
          </w:p>
        </w:tc>
        <w:tc>
          <w:tcPr/>
          <w:p>
            <w:pPr>
              <w:pStyle w:val="Compact"/>
            </w:pPr>
            <w:r>
              <w:t xml:space="preserve">Name, DOB, SSN, address, contact info</w:t>
            </w:r>
          </w:p>
        </w:tc>
        <w:tc>
          <w:tcPr/>
          <w:p>
            <w:pPr>
              <w:pStyle w:val="Compact"/>
            </w:pPr>
            <w:r>
              <w:t xml:space="preserve">Benefit application intake</w:t>
            </w:r>
          </w:p>
        </w:tc>
        <w:tc>
          <w:tcPr/>
          <w:p>
            <w:pPr>
              <w:pStyle w:val="Compact"/>
            </w:pPr>
            <w:r>
              <w:t xml:space="preserve">Agency case management system</w:t>
            </w:r>
          </w:p>
        </w:tc>
        <w:tc>
          <w:tcPr/>
          <w:p>
            <w:pPr>
              <w:pStyle w:val="Compact"/>
            </w:pPr>
            <w:r>
              <w:t xml:space="preserve">No (internal)</w:t>
            </w:r>
          </w:p>
        </w:tc>
        <w:tc>
          <w:tcPr/>
          <w:p>
            <w:pPr>
              <w:pStyle w:val="Compact"/>
            </w:pPr>
            <w:r>
              <w:t xml:space="preserve">TLS 1.3</w:t>
            </w:r>
          </w:p>
        </w:tc>
        <w:tc>
          <w:tcPr/>
          <w:p>
            <w:pPr>
              <w:pStyle w:val="Compact"/>
            </w:pPr>
            <w:r>
              <w:t xml:space="preserve">AES-256 CMK</w:t>
            </w:r>
          </w:p>
        </w:tc>
        <w:tc>
          <w:tcPr/>
          <w:p>
            <w:pPr>
              <w:pStyle w:val="Compact"/>
            </w:pPr>
            <w:r>
              <w:t xml:space="preserve">[N years]</w:t>
            </w:r>
          </w:p>
        </w:tc>
        <w:tc>
          <w:tcPr/>
          <w:p>
            <w:pPr>
              <w:pStyle w:val="Compact"/>
            </w:pPr>
            <w:r>
              <w:t xml:space="preserve">NIST 800-88 purge</w:t>
            </w:r>
          </w:p>
        </w:tc>
      </w:tr>
      <w:tr>
        <w:tc>
          <w:tcPr/>
          <w:p>
            <w:pPr>
              <w:pStyle w:val="Compact"/>
            </w:pPr>
            <w:r>
              <w:t xml:space="preserve">DFL-002</w:t>
            </w:r>
          </w:p>
        </w:tc>
        <w:tc>
          <w:tcPr/>
          <w:p>
            <w:pPr>
              <w:pStyle w:val="Compact"/>
            </w:pPr>
            <w:r>
              <w:t xml:space="preserve">Agency case management</w:t>
            </w:r>
          </w:p>
        </w:tc>
        <w:tc>
          <w:tcPr/>
          <w:p>
            <w:pPr>
              <w:pStyle w:val="Compact"/>
            </w:pPr>
            <w:r>
              <w:t xml:space="preserve">SSN, medical records, benefit amounts</w:t>
            </w:r>
          </w:p>
        </w:tc>
        <w:tc>
          <w:tcPr/>
          <w:p>
            <w:pPr>
              <w:pStyle w:val="Compact"/>
            </w:pPr>
            <w:r>
              <w:t xml:space="preserve">Disability determination</w:t>
            </w:r>
          </w:p>
        </w:tc>
        <w:tc>
          <w:tcPr/>
          <w:p>
            <w:pPr>
              <w:pStyle w:val="Compact"/>
            </w:pPr>
            <w:r>
              <w:t xml:space="preserve">[CASE ADJUDICATION SYSTEM]</w:t>
            </w:r>
          </w:p>
        </w:tc>
        <w:tc>
          <w:tcPr/>
          <w:p>
            <w:pPr>
              <w:pStyle w:val="Compact"/>
            </w:pPr>
            <w:r>
              <w:t xml:space="preserve">No (internal)</w:t>
            </w:r>
          </w:p>
        </w:tc>
        <w:tc>
          <w:tcPr/>
          <w:p>
            <w:pPr>
              <w:pStyle w:val="Compact"/>
            </w:pPr>
            <w:r>
              <w:t xml:space="preserve">TLS 1.3</w:t>
            </w:r>
          </w:p>
        </w:tc>
        <w:tc>
          <w:tcPr/>
          <w:p>
            <w:pPr>
              <w:pStyle w:val="Compact"/>
            </w:pPr>
            <w:r>
              <w:t xml:space="preserve">AES-256 CMK</w:t>
            </w:r>
          </w:p>
        </w:tc>
        <w:tc>
          <w:tcPr/>
          <w:p>
            <w:pPr>
              <w:pStyle w:val="Compact"/>
            </w:pPr>
            <w:r>
              <w:t xml:space="preserve">5 years post-determination</w:t>
            </w:r>
          </w:p>
        </w:tc>
        <w:tc>
          <w:tcPr/>
          <w:p>
            <w:pPr>
              <w:pStyle w:val="Compact"/>
            </w:pPr>
            <w:r>
              <w:t xml:space="preserve">Secure destruction + purge</w:t>
            </w:r>
          </w:p>
        </w:tc>
      </w:tr>
      <w:tr>
        <w:tc>
          <w:tcPr/>
          <w:p>
            <w:pPr>
              <w:pStyle w:val="Compact"/>
            </w:pPr>
            <w:r>
              <w:t xml:space="preserve">DFL-003</w:t>
            </w:r>
          </w:p>
        </w:tc>
        <w:tc>
          <w:tcPr/>
          <w:p>
            <w:pPr>
              <w:pStyle w:val="Compact"/>
            </w:pPr>
            <w:r>
              <w:t xml:space="preserve">Contact center (Amazon Connect)</w:t>
            </w:r>
          </w:p>
        </w:tc>
        <w:tc>
          <w:tcPr/>
          <w:p>
            <w:pPr>
              <w:pStyle w:val="Compact"/>
            </w:pPr>
            <w:r>
              <w:t xml:space="preserve">Name, SSN (last 4), case number, call recording</w:t>
            </w:r>
          </w:p>
        </w:tc>
        <w:tc>
          <w:tcPr/>
          <w:p>
            <w:pPr>
              <w:pStyle w:val="Compact"/>
            </w:pPr>
            <w:r>
              <w:t xml:space="preserve">Citizen service delivery</w:t>
            </w:r>
          </w:p>
        </w:tc>
        <w:tc>
          <w:tcPr/>
          <w:p>
            <w:pPr>
              <w:pStyle w:val="Compact"/>
            </w:pPr>
            <w:r>
              <w:t xml:space="preserve">CRM ([SYSTEM NAME])</w:t>
            </w:r>
          </w:p>
        </w:tc>
        <w:tc>
          <w:tcPr/>
          <w:p>
            <w:pPr>
              <w:pStyle w:val="Compact"/>
            </w:pPr>
            <w:r>
              <w:t xml:space="preserve">No (internal)</w:t>
            </w:r>
          </w:p>
        </w:tc>
        <w:tc>
          <w:tcPr/>
          <w:p>
            <w:pPr>
              <w:pStyle w:val="Compact"/>
            </w:pPr>
            <w:r>
              <w:t xml:space="preserve">TLS 1.3 (Connect to CRM)</w:t>
            </w:r>
          </w:p>
        </w:tc>
        <w:tc>
          <w:tcPr/>
          <w:p>
            <w:pPr>
              <w:pStyle w:val="Compact"/>
            </w:pPr>
            <w:r>
              <w:t xml:space="preserve">AES-256 at rest</w:t>
            </w:r>
          </w:p>
        </w:tc>
        <w:tc>
          <w:tcPr/>
          <w:p>
            <w:pPr>
              <w:pStyle w:val="Compact"/>
            </w:pPr>
            <w:r>
              <w:t xml:space="preserve">7 years</w:t>
            </w:r>
          </w:p>
        </w:tc>
        <w:tc>
          <w:tcPr/>
          <w:p>
            <w:pPr>
              <w:pStyle w:val="Compact"/>
            </w:pPr>
            <w:r>
              <w:t xml:space="preserve">NIST 800-88 purge</w:t>
            </w:r>
          </w:p>
        </w:tc>
      </w:tr>
      <w:tr>
        <w:tc>
          <w:tcPr/>
          <w:p>
            <w:pPr>
              <w:pStyle w:val="Compact"/>
            </w:pPr>
            <w:r>
              <w:t xml:space="preserve">DFL-004</w:t>
            </w:r>
          </w:p>
        </w:tc>
        <w:tc>
          <w:tcPr/>
          <w:p>
            <w:pPr>
              <w:pStyle w:val="Compact"/>
            </w:pPr>
            <w:r>
              <w:t xml:space="preserve">Agency case management</w:t>
            </w:r>
          </w:p>
        </w:tc>
        <w:tc>
          <w:tcPr/>
          <w:p>
            <w:pPr>
              <w:pStyle w:val="Compact"/>
            </w:pPr>
            <w:r>
              <w:t xml:space="preserve">SSN, benefit amount, tax withholding</w:t>
            </w:r>
          </w:p>
        </w:tc>
        <w:tc>
          <w:tcPr/>
          <w:p>
            <w:pPr>
              <w:pStyle w:val="Compact"/>
            </w:pPr>
            <w:r>
              <w:t xml:space="preserve">Annual tax statement (1099)</w:t>
            </w:r>
          </w:p>
        </w:tc>
        <w:tc>
          <w:tcPr/>
          <w:p>
            <w:pPr>
              <w:pStyle w:val="Compact"/>
            </w:pPr>
            <w:r>
              <w:t xml:space="preserve">IRS (FEDS Pay or direct filing system)</w:t>
            </w:r>
          </w:p>
        </w:tc>
        <w:tc>
          <w:tcPr/>
          <w:p>
            <w:pPr>
              <w:pStyle w:val="Compact"/>
            </w:pPr>
            <w:r>
              <w:t xml:space="preserve">Yes — external federal</w:t>
            </w:r>
          </w:p>
        </w:tc>
        <w:tc>
          <w:tcPr/>
          <w:p>
            <w:pPr>
              <w:pStyle w:val="Compact"/>
            </w:pPr>
            <w:r>
              <w:t xml:space="preserve">TLS 1.3</w:t>
            </w:r>
          </w:p>
        </w:tc>
        <w:tc>
          <w:tcPr/>
          <w:p>
            <w:pPr>
              <w:pStyle w:val="Compact"/>
            </w:pPr>
            <w:r>
              <w:t xml:space="preserve">AES-256 CMK</w:t>
            </w:r>
          </w:p>
        </w:tc>
        <w:tc>
          <w:tcPr/>
          <w:p>
            <w:pPr>
              <w:pStyle w:val="Compact"/>
            </w:pPr>
            <w:r>
              <w:t xml:space="preserve">7 years</w:t>
            </w:r>
          </w:p>
        </w:tc>
        <w:tc>
          <w:tcPr/>
          <w:p>
            <w:pPr>
              <w:pStyle w:val="Compact"/>
            </w:pPr>
            <w:r>
              <w:t xml:space="preserve">NIST 800-88 purge</w:t>
            </w:r>
          </w:p>
        </w:tc>
      </w:tr>
      <w:tr>
        <w:tc>
          <w:tcPr/>
          <w:p>
            <w:pPr>
              <w:pStyle w:val="Compact"/>
            </w:pPr>
            <w:r>
              <w:t xml:space="preserve">DFL-005</w:t>
            </w:r>
          </w:p>
        </w:tc>
        <w:tc>
          <w:tcPr/>
          <w:p>
            <w:pPr>
              <w:pStyle w:val="Compact"/>
            </w:pPr>
            <w:r>
              <w:t xml:space="preserve">Agency — Medicare Part B records</w:t>
            </w:r>
          </w:p>
        </w:tc>
        <w:tc>
          <w:tcPr/>
          <w:p>
            <w:pPr>
              <w:pStyle w:val="Compact"/>
            </w:pPr>
            <w:r>
              <w:t xml:space="preserve">PHI, SSN, Medicare ID</w:t>
            </w:r>
          </w:p>
        </w:tc>
        <w:tc>
          <w:tcPr/>
          <w:p>
            <w:pPr>
              <w:pStyle w:val="Compact"/>
            </w:pPr>
            <w:r>
              <w:t xml:space="preserve">CMS coordination</w:t>
            </w:r>
          </w:p>
        </w:tc>
        <w:tc>
          <w:tcPr/>
          <w:p>
            <w:pPr>
              <w:pStyle w:val="Compact"/>
            </w:pPr>
            <w:r>
              <w:t xml:space="preserve">Centers for Medicare &amp; Medicaid Services</w:t>
            </w:r>
          </w:p>
        </w:tc>
        <w:tc>
          <w:tcPr/>
          <w:p>
            <w:pPr>
              <w:pStyle w:val="Compact"/>
            </w:pPr>
            <w:r>
              <w:t xml:space="preserve">Yes — external federal</w:t>
            </w:r>
          </w:p>
        </w:tc>
        <w:tc>
          <w:tcPr/>
          <w:p>
            <w:pPr>
              <w:pStyle w:val="Compact"/>
            </w:pPr>
            <w:r>
              <w:t xml:space="preserve">TLS 1.3 + payload encryption</w:t>
            </w:r>
          </w:p>
        </w:tc>
        <w:tc>
          <w:tcPr/>
          <w:p>
            <w:pPr>
              <w:pStyle w:val="Compact"/>
            </w:pPr>
            <w:r>
              <w:t xml:space="preserve">AES-256 CMK</w:t>
            </w:r>
          </w:p>
        </w:tc>
        <w:tc>
          <w:tcPr/>
          <w:p>
            <w:pPr>
              <w:pStyle w:val="Compact"/>
            </w:pPr>
            <w:r>
              <w:t xml:space="preserve">Per CMS DSA</w:t>
            </w:r>
          </w:p>
        </w:tc>
        <w:tc>
          <w:tcPr/>
          <w:p>
            <w:pPr>
              <w:pStyle w:val="Compact"/>
            </w:pPr>
            <w:r>
              <w:t xml:space="preserve">Per CMS DSA</w:t>
            </w:r>
          </w:p>
        </w:tc>
      </w:tr>
      <w:tr>
        <w:tc>
          <w:tcPr/>
          <w:p>
            <w:pPr>
              <w:pStyle w:val="Compact"/>
            </w:pPr>
            <w:r>
              <w:t xml:space="preserve">DFL-006</w:t>
            </w:r>
          </w:p>
        </w:tc>
        <w:tc>
          <w:tcPr/>
          <w:p>
            <w:pPr>
              <w:pStyle w:val="Compact"/>
            </w:pPr>
            <w:r>
              <w:t xml:space="preserve">HR system</w:t>
            </w:r>
          </w:p>
        </w:tc>
        <w:tc>
          <w:tcPr/>
          <w:p>
            <w:pPr>
              <w:pStyle w:val="Compact"/>
            </w:pPr>
            <w:r>
              <w:t xml:space="preserve">Employee PII, payroll, health benefit enrollment</w:t>
            </w:r>
          </w:p>
        </w:tc>
        <w:tc>
          <w:tcPr/>
          <w:p>
            <w:pPr>
              <w:pStyle w:val="Compact"/>
            </w:pPr>
            <w:r>
              <w:t xml:space="preserve">Workforce administration</w:t>
            </w:r>
          </w:p>
        </w:tc>
        <w:tc>
          <w:tcPr/>
          <w:p>
            <w:pPr>
              <w:pStyle w:val="Compact"/>
            </w:pPr>
            <w:r>
              <w:t xml:space="preserve">OPM retirement system; FEHB carriers</w:t>
            </w:r>
          </w:p>
        </w:tc>
        <w:tc>
          <w:tcPr/>
          <w:p>
            <w:pPr>
              <w:pStyle w:val="Compact"/>
            </w:pPr>
            <w:r>
              <w:t xml:space="preserve">Yes — external federal / commercial</w:t>
            </w:r>
          </w:p>
        </w:tc>
        <w:tc>
          <w:tcPr/>
          <w:p>
            <w:pPr>
              <w:pStyle w:val="Compact"/>
            </w:pPr>
            <w:r>
              <w:t xml:space="preserve">TLS 1.3</w:t>
            </w:r>
          </w:p>
        </w:tc>
        <w:tc>
          <w:tcPr/>
          <w:p>
            <w:pPr>
              <w:pStyle w:val="Compact"/>
            </w:pPr>
            <w:r>
              <w:t xml:space="preserve">AES-256 CMK</w:t>
            </w:r>
          </w:p>
        </w:tc>
        <w:tc>
          <w:tcPr/>
          <w:p>
            <w:pPr>
              <w:pStyle w:val="Compact"/>
            </w:pPr>
            <w:r>
              <w:t xml:space="preserve">Per OPM schedule</w:t>
            </w:r>
          </w:p>
        </w:tc>
        <w:tc>
          <w:tcPr/>
          <w:p>
            <w:pPr>
              <w:pStyle w:val="Compact"/>
            </w:pPr>
            <w:r>
              <w:t xml:space="preserve">NIST 800-88 purge</w:t>
            </w:r>
          </w:p>
        </w:tc>
      </w:tr>
      <w:tr>
        <w:tc>
          <w:tcPr/>
          <w:p>
            <w:pPr>
              <w:pStyle w:val="Compact"/>
            </w:pPr>
            <w:r>
              <w:t xml:space="preserve">[DFL-NNN]</w:t>
            </w:r>
          </w:p>
        </w:tc>
        <w:tc>
          <w:tcPr/>
          <w:p>
            <w:pPr>
              <w:pStyle w:val="Compact"/>
            </w:pPr>
            <w:r>
              <w:t xml:space="preserve">[SOURCE]</w:t>
            </w:r>
          </w:p>
        </w:tc>
        <w:tc>
          <w:tcPr/>
          <w:p>
            <w:pPr>
              <w:pStyle w:val="Compact"/>
            </w:pPr>
            <w:r>
              <w:t xml:space="preserve">[PII CATEGORIES]</w:t>
            </w:r>
          </w:p>
        </w:tc>
        <w:tc>
          <w:tcPr/>
          <w:p>
            <w:pPr>
              <w:pStyle w:val="Compact"/>
            </w:pPr>
            <w:r>
              <w:t xml:space="preserve">[PURPOSE]</w:t>
            </w:r>
          </w:p>
        </w:tc>
        <w:tc>
          <w:tcPr/>
          <w:p>
            <w:pPr>
              <w:pStyle w:val="Compact"/>
            </w:pPr>
            <w:r>
              <w:t xml:space="preserve">[DESTINATION]</w:t>
            </w:r>
          </w:p>
        </w:tc>
        <w:tc>
          <w:tcPr/>
          <w:p>
            <w:pPr>
              <w:pStyle w:val="Compact"/>
            </w:pPr>
            <w:r>
              <w:t xml:space="preserve">[YES/NO]</w:t>
            </w:r>
          </w:p>
        </w:tc>
        <w:tc>
          <w:tcPr/>
          <w:p>
            <w:pPr>
              <w:pStyle w:val="Compact"/>
            </w:pPr>
            <w:r>
              <w:t xml:space="preserve">[PROTOCOL]</w:t>
            </w:r>
          </w:p>
        </w:tc>
        <w:tc>
          <w:tcPr/>
          <w:p>
            <w:pPr>
              <w:pStyle w:val="Compact"/>
            </w:pPr>
            <w:r>
              <w:t xml:space="preserve">[STANDARD]</w:t>
            </w:r>
          </w:p>
        </w:tc>
        <w:tc>
          <w:tcPr/>
          <w:p>
            <w:pPr>
              <w:pStyle w:val="Compact"/>
            </w:pPr>
            <w:r>
              <w:t xml:space="preserve">[PERIOD]</w:t>
            </w:r>
          </w:p>
        </w:tc>
        <w:tc>
          <w:tcPr/>
          <w:p>
            <w:pPr>
              <w:pStyle w:val="Compact"/>
            </w:pPr>
            <w:r>
              <w:t xml:space="preserve">[METHOD]</w:t>
            </w:r>
          </w:p>
        </w:tc>
      </w:tr>
    </w:tbl>
    <w:bookmarkEnd w:id="165"/>
    <w:bookmarkStart w:id="166" w:name="required-data-flow-scenarios"/>
    <w:p>
      <w:pPr>
        <w:pStyle w:val="Heading2"/>
      </w:pPr>
      <w:r>
        <w:t xml:space="preserve">Required Data Flow Scenarios</w:t>
      </w:r>
    </w:p>
    <w:p>
      <w:pPr>
        <w:pStyle w:val="FirstParagraph"/>
      </w:pPr>
      <w:r>
        <w:t xml:space="preserve">The following four scenarios must be documented in the registry above before</w:t>
      </w:r>
      <w:r>
        <w:t xml:space="preserve"> </w:t>
      </w:r>
      <w:r>
        <w:t xml:space="preserve">the system can achieve FedRAMP 20x authorization:</w:t>
      </w:r>
    </w:p>
    <w:p>
      <w:pPr>
        <w:pStyle w:val="BodyText"/>
      </w:pPr>
      <w:r>
        <w:rPr>
          <w:b/>
          <w:bCs/>
        </w:rPr>
        <w:t xml:space="preserve">Scenario 1 — Citizen Portal Intake</w:t>
      </w:r>
    </w:p>
    <w:p>
      <w:pPr>
        <w:pStyle w:val="BodyText"/>
      </w:pPr>
      <w:r>
        <w:t xml:space="preserve">Document all flows from initial web form submission through case creation.</w:t>
      </w:r>
      <w:r>
        <w:t xml:space="preserve"> </w:t>
      </w:r>
      <w:r>
        <w:t xml:space="preserve">Confirm PT-5 notice is displayed before any PII is collected. Confirm SSN</w:t>
      </w:r>
      <w:r>
        <w:t xml:space="preserve"> </w:t>
      </w:r>
      <w:r>
        <w:t xml:space="preserve">auto-labeling triggers on intake (Vol III Book 05 §6).</w:t>
      </w:r>
    </w:p>
    <w:p>
      <w:pPr>
        <w:pStyle w:val="BodyText"/>
      </w:pPr>
      <w:r>
        <w:rPr>
          <w:b/>
          <w:bCs/>
        </w:rPr>
        <w:t xml:space="preserve">Scenario 2 — Contact Center (Amazon Connect)</w:t>
      </w:r>
    </w:p>
    <w:p>
      <w:pPr>
        <w:pStyle w:val="BodyText"/>
      </w:pPr>
      <w:r>
        <w:t xml:space="preserve">Document call routing, call recording storage, CRM write, and any screen-pop</w:t>
      </w:r>
      <w:r>
        <w:t xml:space="preserve"> </w:t>
      </w:r>
      <w:r>
        <w:t xml:space="preserve">of PII from case management. Confirm call recording consent notice (PT-4 §5).</w:t>
      </w:r>
      <w:r>
        <w:t xml:space="preserve"> </w:t>
      </w:r>
      <w:r>
        <w:t xml:space="preserve">Confirm recording retention aligns with PT-2 matrix (§3).</w:t>
      </w:r>
    </w:p>
    <w:p>
      <w:pPr>
        <w:pStyle w:val="BodyText"/>
      </w:pPr>
      <w:r>
        <w:rPr>
          <w:b/>
          <w:bCs/>
        </w:rPr>
        <w:t xml:space="preserve">Scenario 3 — HR / Workforce</w:t>
      </w:r>
    </w:p>
    <w:p>
      <w:pPr>
        <w:pStyle w:val="BodyText"/>
      </w:pPr>
      <w:r>
        <w:t xml:space="preserve">Document all HR PII flows including payroll, benefits, and disciplinary records.</w:t>
      </w:r>
      <w:r>
        <w:t xml:space="preserve"> </w:t>
      </w:r>
      <w:r>
        <w:t xml:space="preserve">Confirm OPM SORN coverage. Confirm FEHB carrier data sharing is covered by</w:t>
      </w:r>
      <w:r>
        <w:t xml:space="preserve"> </w:t>
      </w:r>
      <w:r>
        <w:t xml:space="preserve">DSA and SORN routine use.</w:t>
      </w:r>
    </w:p>
    <w:p>
      <w:pPr>
        <w:pStyle w:val="BodyText"/>
      </w:pPr>
      <w:r>
        <w:rPr>
          <w:b/>
          <w:bCs/>
        </w:rPr>
        <w:t xml:space="preserve">Scenario 4 — Cross-Agency Sharing via API</w:t>
      </w:r>
    </w:p>
    <w:p>
      <w:pPr>
        <w:pStyle w:val="BodyText"/>
      </w:pPr>
      <w:r>
        <w:t xml:space="preserve">Document each external API that sends or receives PII. For each: (a) confirm</w:t>
      </w:r>
      <w:r>
        <w:t xml:space="preserve"> </w:t>
      </w:r>
      <w:r>
        <w:t xml:space="preserve">a signed DSA is on file, (b) confirm the sending agency’s SORN covers the</w:t>
      </w:r>
      <w:r>
        <w:t xml:space="preserve"> </w:t>
      </w:r>
      <w:r>
        <w:t xml:space="preserve">receiving use, (c) confirm encryption and authentication standards meet GCC</w:t>
      </w:r>
      <w:r>
        <w:t xml:space="preserve"> </w:t>
      </w:r>
      <w:r>
        <w:t xml:space="preserve">Moderate requirements (FIPS-validated TLS 1.2+; this series standardizes on</w:t>
      </w:r>
      <w:r>
        <w:t xml:space="preserve"> </w:t>
      </w:r>
      <w:r>
        <w:t xml:space="preserve">TLS 1.3 with mutual TLS preferred for cross-agency API calls).</w:t>
      </w:r>
    </w:p>
    <w:bookmarkEnd w:id="166"/>
    <w:bookmarkStart w:id="167" w:name="azure-purview-lineage-integration"/>
    <w:p>
      <w:pPr>
        <w:pStyle w:val="Heading2"/>
      </w:pPr>
      <w:r>
        <w:t xml:space="preserve">Azure Purview Lineage Integration</w:t>
      </w:r>
    </w:p>
    <w:p>
      <w:pPr>
        <w:pStyle w:val="FirstParagraph"/>
      </w:pPr>
      <w:r>
        <w:t xml:space="preserve">Microsoft Purview Data Map scans registered data sources and builds an automated</w:t>
      </w:r>
      <w:r>
        <w:t xml:space="preserve"> </w:t>
      </w:r>
      <w:r>
        <w:t xml:space="preserve">lineage graph showing data asset relationships. This scan does not replace manual</w:t>
      </w:r>
      <w:r>
        <w:t xml:space="preserve"> </w:t>
      </w:r>
      <w:r>
        <w:t xml:space="preserve">documentation but identifies gaps:</w:t>
      </w:r>
    </w:p>
    <w:p>
      <w:pPr>
        <w:pStyle w:val="Compact"/>
        <w:numPr>
          <w:ilvl w:val="0"/>
          <w:numId w:val="1041"/>
        </w:numPr>
      </w:pPr>
      <w:r>
        <w:t xml:space="preserve">Register all data sources in Purview (databases, storage accounts, data</w:t>
      </w:r>
      <w:r>
        <w:t xml:space="preserve"> </w:t>
      </w:r>
      <w:r>
        <w:t xml:space="preserve">factories) per Vol III Book 05 §3</w:t>
      </w:r>
    </w:p>
    <w:p>
      <w:pPr>
        <w:pStyle w:val="Compact"/>
        <w:numPr>
          <w:ilvl w:val="0"/>
          <w:numId w:val="1041"/>
        </w:numPr>
      </w:pPr>
      <w:r>
        <w:t xml:space="preserve">Run a lineage scan quarterly; export the lineage report</w:t>
      </w:r>
    </w:p>
    <w:p>
      <w:pPr>
        <w:pStyle w:val="Compact"/>
        <w:numPr>
          <w:ilvl w:val="0"/>
          <w:numId w:val="1041"/>
        </w:numPr>
      </w:pPr>
      <w:r>
        <w:t xml:space="preserve">Compare automated lineage report against this manual registry</w:t>
      </w:r>
    </w:p>
    <w:p>
      <w:pPr>
        <w:pStyle w:val="Compact"/>
        <w:numPr>
          <w:ilvl w:val="0"/>
          <w:numId w:val="1041"/>
        </w:numPr>
      </w:pPr>
      <w:r>
        <w:t xml:space="preserve">Any flow appearing in Purview lineage but not in this registry must be</w:t>
      </w:r>
      <w:r>
        <w:t xml:space="preserve"> </w:t>
      </w:r>
      <w:r>
        <w:t xml:space="preserve">investigated, documented, or remediated before the next annual privacy review</w:t>
      </w:r>
    </w:p>
    <w:p>
      <w:pPr>
        <w:pStyle w:val="BlockText"/>
      </w:pPr>
      <w:r>
        <w:t xml:space="preserve">[FILLABLE] Record the date of the most recent Purview lineage scan and the</w:t>
      </w:r>
      <w:r>
        <w:t xml:space="preserve"> </w:t>
      </w:r>
      <w:r>
        <w:t xml:space="preserve">name of the person who reviewed the comparison output:</w:t>
      </w:r>
    </w:p>
    <w:p>
      <w:pPr>
        <w:pStyle w:val="BlockText"/>
      </w:pPr>
      <w:r>
        <w:t xml:space="preserve">Last Purview lineage scan date: [DATE]</w:t>
      </w:r>
      <w:r>
        <w:t xml:space="preserve"> </w:t>
      </w:r>
      <w:r>
        <w:t xml:space="preserve">Reviewed by: [NAME, TITLE]</w:t>
      </w:r>
      <w:r>
        <w:t xml:space="preserve"> </w:t>
      </w:r>
      <w:r>
        <w:t xml:space="preserve">Findings: [NUMBER] undocumented flows identified / [NUMBER] remediated /</w:t>
      </w:r>
      <w:r>
        <w:t xml:space="preserve"> </w:t>
      </w:r>
      <w:r>
        <w:t xml:space="preserve">[NUMBER] accepted with documented justification</w:t>
      </w:r>
    </w:p>
    <w:p>
      <w:r>
        <w:pict>
          <v:rect style="width:0;height:1.5pt" o:hralign="center" o:hrstd="t" o:hr="t"/>
        </w:pict>
      </w:r>
    </w:p>
    <w:bookmarkEnd w:id="167"/>
    <w:bookmarkEnd w:id="168"/>
    <w:bookmarkStart w:id="174" w:name="fedramp-20x-ksi-alignment"/>
    <w:p>
      <w:pPr>
        <w:pStyle w:val="Heading1"/>
      </w:pPr>
      <w:r>
        <w:t xml:space="preserve">FedRAMP 20x KSI Alignment</w:t>
      </w:r>
    </w:p>
    <w:bookmarkStart w:id="169" w:name="pt-control-closure-summary"/>
    <w:p>
      <w:pPr>
        <w:pStyle w:val="Heading2"/>
      </w:pPr>
      <w:r>
        <w:t xml:space="preserve">PT Control Closure Summary</w:t>
      </w:r>
    </w:p>
    <w:p>
      <w:pPr>
        <w:pStyle w:val="FirstParagraph"/>
      </w:pPr>
      <w:r>
        <w:t xml:space="preserve">The templates in this document, when completed, close the following NIST SP</w:t>
      </w:r>
      <w:r>
        <w:t xml:space="preserve"> </w:t>
      </w:r>
      <w:r>
        <w:t xml:space="preserve">800-53 Rev 5 PII Processing and Transparency (PT) controls for a GCC Moderate</w:t>
      </w:r>
      <w:r>
        <w:t xml:space="preserve"> </w:t>
      </w:r>
      <w:r>
        <w:t xml:space="preserve">authorization (pending registration in the compliance spine):</w:t>
      </w:r>
    </w:p>
    <w:tbl>
      <w:tblPr>
        <w:tblStyle w:val="Table"/>
        <w:tblW w:type="pct" w:w="5000"/>
        <w:tblLayout w:type="fixed"/>
        <w:tblLook w:firstRow="1" w:lastRow="0" w:firstColumn="0" w:lastColumn="0" w:noHBand="0" w:noVBand="0" w:val="0020"/>
      </w:tblPr>
      <w:tblGrid>
        <w:gridCol w:w="1425"/>
        <w:gridCol w:w="1108"/>
        <w:gridCol w:w="2692"/>
        <w:gridCol w:w="2692"/>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Artifact</w:t>
            </w:r>
          </w:p>
        </w:tc>
        <w:tc>
          <w:tcPr/>
          <w:p>
            <w:pPr>
              <w:pStyle w:val="Compact"/>
            </w:pPr>
            <w:r>
              <w:t xml:space="preserve">Document Section</w:t>
            </w:r>
          </w:p>
        </w:tc>
      </w:tr>
      <w:tr>
        <w:tc>
          <w:tcPr/>
          <w:p>
            <w:pPr>
              <w:pStyle w:val="Compact"/>
            </w:pPr>
            <w:r>
              <w:t xml:space="preserve">PT-1</w:t>
            </w:r>
          </w:p>
        </w:tc>
        <w:tc>
          <w:tcPr/>
          <w:p>
            <w:pPr>
              <w:pStyle w:val="Compact"/>
            </w:pPr>
            <w:r>
              <w:t xml:space="preserve">Policy and Procedures</w:t>
            </w:r>
          </w:p>
        </w:tc>
        <w:tc>
          <w:tcPr/>
          <w:p>
            <w:pPr>
              <w:pStyle w:val="Compact"/>
            </w:pPr>
            <w:r>
              <w:t xml:space="preserve">Privacy Program Plan (PPP)</w:t>
            </w:r>
          </w:p>
        </w:tc>
        <w:tc>
          <w:tcPr/>
          <w:p>
            <w:pPr>
              <w:pStyle w:val="Compact"/>
            </w:pPr>
            <w:r>
              <w:t xml:space="preserve">§2</w:t>
            </w:r>
          </w:p>
        </w:tc>
      </w:tr>
      <w:tr>
        <w:tc>
          <w:tcPr/>
          <w:p>
            <w:pPr>
              <w:pStyle w:val="Compact"/>
            </w:pPr>
            <w:r>
              <w:t xml:space="preserve">PT-2</w:t>
            </w:r>
          </w:p>
        </w:tc>
        <w:tc>
          <w:tcPr/>
          <w:p>
            <w:pPr>
              <w:pStyle w:val="Compact"/>
            </w:pPr>
            <w:r>
              <w:t xml:space="preserve">Authority to Process PII</w:t>
            </w:r>
          </w:p>
        </w:tc>
        <w:tc>
          <w:tcPr/>
          <w:p>
            <w:pPr>
              <w:pStyle w:val="Compact"/>
            </w:pPr>
            <w:r>
              <w:t xml:space="preserve">Legal Authority Matrix + SORN Registry</w:t>
            </w:r>
          </w:p>
        </w:tc>
        <w:tc>
          <w:tcPr/>
          <w:p>
            <w:pPr>
              <w:pStyle w:val="Compact"/>
            </w:pPr>
            <w:r>
              <w:t xml:space="preserve">§3</w:t>
            </w:r>
          </w:p>
        </w:tc>
      </w:tr>
      <w:tr>
        <w:tc>
          <w:tcPr/>
          <w:p>
            <w:pPr>
              <w:pStyle w:val="Compact"/>
            </w:pPr>
            <w:r>
              <w:t xml:space="preserve">PT-3</w:t>
            </w:r>
          </w:p>
        </w:tc>
        <w:tc>
          <w:tcPr/>
          <w:p>
            <w:pPr>
              <w:pStyle w:val="Compact"/>
            </w:pPr>
            <w:r>
              <w:t xml:space="preserve">Personally Identifiable Information Processing Purposes</w:t>
            </w:r>
          </w:p>
        </w:tc>
        <w:tc>
          <w:tcPr/>
          <w:p>
            <w:pPr>
              <w:pStyle w:val="Compact"/>
            </w:pPr>
            <w:r>
              <w:t xml:space="preserve">Purpose Specification Matrix + Purview Attribute Mapping</w:t>
            </w:r>
          </w:p>
        </w:tc>
        <w:tc>
          <w:tcPr/>
          <w:p>
            <w:pPr>
              <w:pStyle w:val="Compact"/>
            </w:pPr>
            <w:r>
              <w:t xml:space="preserve">§4</w:t>
            </w:r>
          </w:p>
        </w:tc>
      </w:tr>
      <w:tr>
        <w:tc>
          <w:tcPr/>
          <w:p>
            <w:pPr>
              <w:pStyle w:val="Compact"/>
            </w:pPr>
            <w:r>
              <w:t xml:space="preserve">PT-4</w:t>
            </w:r>
          </w:p>
        </w:tc>
        <w:tc>
          <w:tcPr/>
          <w:p>
            <w:pPr>
              <w:pStyle w:val="Compact"/>
            </w:pPr>
            <w:r>
              <w:t xml:space="preserve">Consent</w:t>
            </w:r>
          </w:p>
        </w:tc>
        <w:tc>
          <w:tcPr/>
          <w:p>
            <w:pPr>
              <w:pStyle w:val="Compact"/>
            </w:pPr>
            <w:r>
              <w:t xml:space="preserve">Consent Mechanism Matrix</w:t>
            </w:r>
          </w:p>
        </w:tc>
        <w:tc>
          <w:tcPr/>
          <w:p>
            <w:pPr>
              <w:pStyle w:val="Compact"/>
            </w:pPr>
            <w:r>
              <w:t xml:space="preserve">§5</w:t>
            </w:r>
          </w:p>
        </w:tc>
      </w:tr>
      <w:tr>
        <w:tc>
          <w:tcPr/>
          <w:p>
            <w:pPr>
              <w:pStyle w:val="Compact"/>
            </w:pPr>
            <w:r>
              <w:t xml:space="preserve">PT-5</w:t>
            </w:r>
          </w:p>
        </w:tc>
        <w:tc>
          <w:tcPr/>
          <w:p>
            <w:pPr>
              <w:pStyle w:val="Compact"/>
            </w:pPr>
            <w:r>
              <w:t xml:space="preserve">Privacy Notice</w:t>
            </w:r>
          </w:p>
        </w:tc>
        <w:tc>
          <w:tcPr/>
          <w:p>
            <w:pPr>
              <w:pStyle w:val="Compact"/>
            </w:pPr>
            <w:r>
              <w:t xml:space="preserve">Model Privacy Notice + Placement Requirements</w:t>
            </w:r>
          </w:p>
        </w:tc>
        <w:tc>
          <w:tcPr/>
          <w:p>
            <w:pPr>
              <w:pStyle w:val="Compact"/>
            </w:pPr>
            <w:r>
              <w:t xml:space="preserve">§6</w:t>
            </w:r>
          </w:p>
        </w:tc>
      </w:tr>
      <w:tr>
        <w:tc>
          <w:tcPr/>
          <w:p>
            <w:pPr>
              <w:pStyle w:val="Compact"/>
            </w:pPr>
            <w:r>
              <w:t xml:space="preserve">PT-7</w:t>
            </w:r>
          </w:p>
        </w:tc>
        <w:tc>
          <w:tcPr/>
          <w:p>
            <w:pPr>
              <w:pStyle w:val="Compact"/>
            </w:pPr>
            <w:r>
              <w:t xml:space="preserve">Specific Categories of PII</w:t>
            </w:r>
          </w:p>
        </w:tc>
        <w:tc>
          <w:tcPr/>
          <w:p>
            <w:pPr>
              <w:pStyle w:val="Compact"/>
            </w:pPr>
            <w:r>
              <w:t xml:space="preserve">Special Category Control Matrix + SSN Policy</w:t>
            </w:r>
          </w:p>
        </w:tc>
        <w:tc>
          <w:tcPr/>
          <w:p>
            <w:pPr>
              <w:pStyle w:val="Compact"/>
            </w:pPr>
            <w:r>
              <w:t xml:space="preserve">§7</w:t>
            </w:r>
          </w:p>
        </w:tc>
      </w:tr>
    </w:tbl>
    <w:p>
      <w:pPr>
        <w:pStyle w:val="BlockText"/>
      </w:pPr>
      <w:r>
        <w:rPr>
          <w:b/>
          <w:bCs/>
        </w:rPr>
        <w:t xml:space="preserve">Closure Necessity — PT family.</w:t>
      </w:r>
      <w:r>
        <w:t xml:space="preserve"> </w:t>
      </w:r>
      <w:r>
        <w:t xml:space="preserve">These six controls close through privacy</w:t>
      </w:r>
      <w:r>
        <w:t xml:space="preserve"> </w:t>
      </w:r>
      <w:r>
        <w:t xml:space="preserve">artifacts — the Privacy Program Plan, the legal-authority matrix, published</w:t>
      </w:r>
      <w:r>
        <w:t xml:space="preserve"> </w:t>
      </w:r>
      <w:r>
        <w:t xml:space="preserve">SORNs, the PIA, and the data flow maps — not through the network substrate.</w:t>
      </w:r>
      <w:r>
        <w:t xml:space="preserve"> </w:t>
      </w:r>
      <w:r>
        <w:t xml:space="preserve">Purview labeling and DLP (Vol III Book 05)</w:t>
      </w:r>
      <w:r>
        <w:t xml:space="preserve"> </w:t>
      </w:r>
      <w:r>
        <w:rPr>
          <w:i/>
          <w:iCs/>
        </w:rPr>
        <w:t xml:space="preserve">enforce</w:t>
      </w:r>
      <w:r>
        <w:t xml:space="preserve"> </w:t>
      </w:r>
      <w:r>
        <w:t xml:space="preserve">the purposes and categories those</w:t>
      </w:r>
      <w:r>
        <w:t xml:space="preserve"> </w:t>
      </w:r>
      <w:r>
        <w:t xml:space="preserve">artifacts define, but no classifier, resolver, or enforcement point can supply</w:t>
      </w:r>
      <w:r>
        <w:t xml:space="preserve"> </w:t>
      </w:r>
      <w:r>
        <w:t xml:space="preserve">the statutory authority or the published notice the Privacy Act requires. The</w:t>
      </w:r>
      <w:r>
        <w:t xml:space="preserve"> </w:t>
      </w:r>
      <w:r>
        <w:t xml:space="preserve">series claims a technology as required only where no alternate closure path</w:t>
      </w:r>
      <w:r>
        <w:t xml:space="preserve"> </w:t>
      </w:r>
      <w:r>
        <w:t xml:space="preserve">exists; privacy transparency is closed by documentation, and saying so is what</w:t>
      </w:r>
      <w:r>
        <w:t xml:space="preserve"> </w:t>
      </w:r>
      <w:r>
        <w:t xml:space="preserve">preserves the credibility of the necessity claims made elsewhere in the</w:t>
      </w:r>
      <w:r>
        <w:t xml:space="preserve"> </w:t>
      </w:r>
      <w:r>
        <w:t xml:space="preserve">series.</w:t>
      </w:r>
    </w:p>
    <w:bookmarkEnd w:id="169"/>
    <w:bookmarkStart w:id="170" w:name="ksi-indirect-coverage"/>
    <w:p>
      <w:pPr>
        <w:pStyle w:val="Heading2"/>
      </w:pPr>
      <w:r>
        <w:t xml:space="preserve">KSI Indirect Coverage</w:t>
      </w:r>
    </w:p>
    <w:p>
      <w:pPr>
        <w:pStyle w:val="FirstParagraph"/>
      </w:pPr>
      <w:r>
        <w:t xml:space="preserve">PT controls do not yet have direct mappings to the FedRAMP 20x CR26 Key</w:t>
      </w:r>
      <w:r>
        <w:t xml:space="preserve"> </w:t>
      </w:r>
      <w:r>
        <w:t xml:space="preserve">Security Indicator rules. However, PT controls contribute to the</w:t>
      </w:r>
      <w:r>
        <w:t xml:space="preserve"> </w:t>
      </w:r>
      <w:r>
        <w:rPr>
          <w:b/>
          <w:bCs/>
        </w:rPr>
        <w:t xml:space="preserve">KSI-PIY (Policy and Inventory)</w:t>
      </w:r>
      <w:r>
        <w:t xml:space="preserve"> </w:t>
      </w:r>
      <w:r>
        <w:t xml:space="preserve">theme — the agency’s policy governance and asset/data inventory — through its</w:t>
      </w:r>
      <w:r>
        <w:t xml:space="preserve"> </w:t>
      </w:r>
      <w:r>
        <w:t xml:space="preserve">privacy policies and PII data inventory. (CR26 has no privacy-specific theme;</w:t>
      </w:r>
      <w:r>
        <w:t xml:space="preserve"> </w:t>
      </w:r>
      <w:r>
        <w:t xml:space="preserve">KSI-PIY is a general policy-and-inventory indicator, not a PII-holdings</w:t>
      </w:r>
      <w:r>
        <w:t xml:space="preserve"> </w:t>
      </w:r>
      <w:r>
        <w:t xml:space="preserve">measure.) The following indirect connections apply:</w:t>
      </w:r>
    </w:p>
    <w:tbl>
      <w:tblPr>
        <w:tblStyle w:val="Table"/>
        <w:tblW w:type="pct" w:w="5000"/>
        <w:tblLayout w:type="fixed"/>
        <w:tblLook w:firstRow="1" w:lastRow="0" w:firstColumn="0" w:lastColumn="0" w:noHBand="0" w:noVBand="0" w:val="0020"/>
      </w:tblPr>
      <w:tblGrid>
        <w:gridCol w:w="1980"/>
        <w:gridCol w:w="3960"/>
        <w:gridCol w:w="1980"/>
      </w:tblGrid>
      <w:tr>
        <w:trPr>
          <w:tblHeader w:val="on"/>
        </w:trPr>
        <w:tc>
          <w:tcPr/>
          <w:p>
            <w:pPr>
              <w:pStyle w:val="Compact"/>
            </w:pPr>
            <w:r>
              <w:t xml:space="preserve">KSI Theme</w:t>
            </w:r>
          </w:p>
        </w:tc>
        <w:tc>
          <w:tcPr/>
          <w:p>
            <w:pPr>
              <w:pStyle w:val="Compact"/>
            </w:pPr>
            <w:r>
              <w:t xml:space="preserve">Indirect PT Dependency</w:t>
            </w:r>
          </w:p>
        </w:tc>
        <w:tc>
          <w:tcPr/>
          <w:p>
            <w:pPr>
              <w:pStyle w:val="Compact"/>
            </w:pPr>
            <w:r>
              <w:t xml:space="preserve">Mechanism</w:t>
            </w:r>
          </w:p>
        </w:tc>
      </w:tr>
      <w:tr>
        <w:tc>
          <w:tcPr/>
          <w:p>
            <w:pPr>
              <w:pStyle w:val="Compact"/>
            </w:pPr>
            <w:r>
              <w:t xml:space="preserve">KSI-PIY (Policy and Inventory)</w:t>
            </w:r>
          </w:p>
        </w:tc>
        <w:tc>
          <w:tcPr/>
          <w:p>
            <w:pPr>
              <w:pStyle w:val="Compact"/>
            </w:pPr>
            <w:r>
              <w:t xml:space="preserve">PT-2, PT-3, PT-7</w:t>
            </w:r>
          </w:p>
        </w:tc>
        <w:tc>
          <w:tcPr/>
          <w:p>
            <w:pPr>
              <w:pStyle w:val="Compact"/>
            </w:pPr>
            <w:r>
              <w:t xml:space="preserve">Purview data inventory populated through PT-3 purpose mapping and PT-7 special category labeling</w:t>
            </w:r>
          </w:p>
        </w:tc>
      </w:tr>
      <w:tr>
        <w:tc>
          <w:tcPr/>
          <w:p>
            <w:pPr>
              <w:pStyle w:val="Compact"/>
            </w:pPr>
            <w:r>
              <w:t xml:space="preserve">KSI-SVC (Service Configuration)</w:t>
            </w:r>
          </w:p>
        </w:tc>
        <w:tc>
          <w:tcPr/>
          <w:p>
            <w:pPr>
              <w:pStyle w:val="Compact"/>
            </w:pPr>
            <w:r>
              <w:t xml:space="preserve">PT-7</w:t>
            </w:r>
          </w:p>
        </w:tc>
        <w:tc>
          <w:tcPr/>
          <w:p>
            <w:pPr>
              <w:pStyle w:val="Compact"/>
            </w:pPr>
            <w:r>
              <w:t xml:space="preserve">Special category encryption and access-control requirements feed data-protection KSI evidence</w:t>
            </w:r>
          </w:p>
        </w:tc>
      </w:tr>
      <w:tr>
        <w:tc>
          <w:tcPr/>
          <w:p>
            <w:pPr>
              <w:pStyle w:val="Compact"/>
            </w:pPr>
            <w:r>
              <w:t xml:space="preserve">KSI-IAM (Identity and Access Management)</w:t>
            </w:r>
          </w:p>
        </w:tc>
        <w:tc>
          <w:tcPr/>
          <w:p>
            <w:pPr>
              <w:pStyle w:val="Compact"/>
            </w:pPr>
            <w:r>
              <w:t xml:space="preserve">PT-4</w:t>
            </w:r>
          </w:p>
        </w:tc>
        <w:tc>
          <w:tcPr/>
          <w:p>
            <w:pPr>
              <w:pStyle w:val="Compact"/>
            </w:pPr>
            <w:r>
              <w:t xml:space="preserve">Consent records linked to identity; withdrawal workflows touch IAM</w:t>
            </w:r>
          </w:p>
        </w:tc>
      </w:tr>
      <w:tr>
        <w:tc>
          <w:tcPr/>
          <w:p>
            <w:pPr>
              <w:pStyle w:val="Compact"/>
            </w:pPr>
            <w:r>
              <w:t xml:space="preserve">KSI-MLA (Monitoring, Logging, and Auditing)</w:t>
            </w:r>
          </w:p>
        </w:tc>
        <w:tc>
          <w:tcPr/>
          <w:p>
            <w:pPr>
              <w:pStyle w:val="Compact"/>
            </w:pPr>
            <w:r>
              <w:t xml:space="preserve">PT-1</w:t>
            </w:r>
          </w:p>
        </w:tc>
        <w:tc>
          <w:tcPr/>
          <w:p>
            <w:pPr>
              <w:pStyle w:val="Compact"/>
            </w:pPr>
            <w:r>
              <w:t xml:space="preserve">Privacy oversight cadence integrates with the ConMon plan</w:t>
            </w:r>
          </w:p>
        </w:tc>
      </w:tr>
    </w:tbl>
    <w:p>
      <w:pPr>
        <w:pStyle w:val="BlockText"/>
      </w:pPr>
      <w:r>
        <w:rPr>
          <w:b/>
          <w:bCs/>
        </w:rPr>
        <w:t xml:space="preserve">Note for Package Reviewers:</w:t>
      </w:r>
      <w:r>
        <w:t xml:space="preserve"> </w:t>
      </w:r>
      <w:r>
        <w:t xml:space="preserve">Until FedRAMP PMO publishes explicit</w:t>
      </w:r>
      <w:r>
        <w:t xml:space="preserve"> </w:t>
      </w:r>
      <w:r>
        <w:t xml:space="preserve">PT → KSI mappings for the 20x schema, document PT control evidence in the</w:t>
      </w:r>
      <w:r>
        <w:t xml:space="preserve"> </w:t>
      </w:r>
      <w:r>
        <w:t xml:space="preserve">SSP privacy section and reference this document’s section numbers. The</w:t>
      </w:r>
      <w:r>
        <w:t xml:space="preserve"> </w:t>
      </w:r>
      <w:r>
        <w:t xml:space="preserve">independent privacy assessment report (3PAO-produced if one is engaged)</w:t>
      </w:r>
      <w:r>
        <w:t xml:space="preserve"> </w:t>
      </w:r>
      <w:r>
        <w:t xml:space="preserve">should include PT-1 through PT-7 findings as a distinct section,</w:t>
      </w:r>
      <w:r>
        <w:t xml:space="preserve"> </w:t>
      </w:r>
      <w:r>
        <w:t xml:space="preserve">cross-referenced to the security assessment report.</w:t>
      </w:r>
    </w:p>
    <w:bookmarkEnd w:id="170"/>
    <w:bookmarkStart w:id="171" w:name="compliance-milestones"/>
    <w:p>
      <w:pPr>
        <w:pStyle w:val="Heading2"/>
      </w:pPr>
      <w:r>
        <w:t xml:space="preserve">Compliance Milestones</w:t>
      </w:r>
    </w:p>
    <w:p>
      <w:pPr>
        <w:pStyle w:val="FirstParagraph"/>
      </w:pPr>
      <w:r>
        <w:t xml:space="preserve">The following milestones are required before a PII-processing system may go live</w:t>
      </w:r>
      <w:r>
        <w:t xml:space="preserve"> </w:t>
      </w:r>
      <w:r>
        <w:t xml:space="preserve">in the Agency GCC Moderate boundary:</w:t>
      </w:r>
    </w:p>
    <w:tbl>
      <w:tblPr>
        <w:tblStyle w:val="Table"/>
        <w:tblW w:type="pct" w:w="5000"/>
        <w:tblLayout w:type="fixed"/>
        <w:tblLook w:firstRow="1" w:lastRow="0" w:firstColumn="0" w:lastColumn="0" w:noHBand="0" w:noVBand="0" w:val="0020"/>
      </w:tblPr>
      <w:tblGrid>
        <w:gridCol w:w="2292"/>
        <w:gridCol w:w="2501"/>
        <w:gridCol w:w="1667"/>
        <w:gridCol w:w="1458"/>
      </w:tblGrid>
      <w:tr>
        <w:trPr>
          <w:tblHeader w:val="on"/>
        </w:trPr>
        <w:tc>
          <w:tcPr/>
          <w:p>
            <w:pPr>
              <w:pStyle w:val="Compact"/>
            </w:pPr>
            <w:r>
              <w:t xml:space="preserve">Milestone</w:t>
            </w:r>
          </w:p>
        </w:tc>
        <w:tc>
          <w:tcPr/>
          <w:p>
            <w:pPr>
              <w:pStyle w:val="Compact"/>
            </w:pPr>
            <w:r>
              <w:t xml:space="preserve">Requirement</w:t>
            </w:r>
          </w:p>
        </w:tc>
        <w:tc>
          <w:tcPr/>
          <w:p>
            <w:pPr>
              <w:pStyle w:val="Compact"/>
            </w:pPr>
            <w:r>
              <w:t xml:space="preserve">Timing</w:t>
            </w:r>
          </w:p>
        </w:tc>
        <w:tc>
          <w:tcPr/>
          <w:p>
            <w:pPr>
              <w:pStyle w:val="Compact"/>
            </w:pPr>
            <w:r>
              <w:t xml:space="preserve">Owner</w:t>
            </w:r>
          </w:p>
        </w:tc>
      </w:tr>
      <w:tr>
        <w:tc>
          <w:tcPr/>
          <w:p>
            <w:pPr>
              <w:pStyle w:val="Compact"/>
            </w:pPr>
            <w:r>
              <w:t xml:space="preserve">Privacy Threshold Analysis (PTA)</w:t>
            </w:r>
          </w:p>
        </w:tc>
        <w:tc>
          <w:tcPr/>
          <w:p>
            <w:pPr>
              <w:pStyle w:val="Compact"/>
            </w:pPr>
            <w:r>
              <w:t xml:space="preserve">Determine whether system is a system of records; whether a PIA is required</w:t>
            </w:r>
          </w:p>
        </w:tc>
        <w:tc>
          <w:tcPr/>
          <w:p>
            <w:pPr>
              <w:pStyle w:val="Compact"/>
            </w:pPr>
            <w:r>
              <w:t xml:space="preserve">At system concept approval</w:t>
            </w:r>
          </w:p>
        </w:tc>
        <w:tc>
          <w:tcPr/>
          <w:p>
            <w:pPr>
              <w:pStyle w:val="Compact"/>
            </w:pPr>
            <w:r>
              <w:t xml:space="preserve">SPO</w:t>
            </w:r>
          </w:p>
        </w:tc>
      </w:tr>
      <w:tr>
        <w:tc>
          <w:tcPr/>
          <w:p>
            <w:pPr>
              <w:pStyle w:val="Compact"/>
            </w:pPr>
            <w:r>
              <w:t xml:space="preserve">Privacy Impact Assessment (PIA)</w:t>
            </w:r>
          </w:p>
        </w:tc>
        <w:tc>
          <w:tcPr/>
          <w:p>
            <w:pPr>
              <w:pStyle w:val="Compact"/>
            </w:pPr>
            <w:r>
              <w:t xml:space="preserve">Full PIA if PTA indicates privacy risk</w:t>
            </w:r>
          </w:p>
        </w:tc>
        <w:tc>
          <w:tcPr/>
          <w:p>
            <w:pPr>
              <w:pStyle w:val="Compact"/>
            </w:pPr>
            <w:r>
              <w:t xml:space="preserve">Before system design is finalized; updated before go-live</w:t>
            </w:r>
          </w:p>
        </w:tc>
        <w:tc>
          <w:tcPr/>
          <w:p>
            <w:pPr>
              <w:pStyle w:val="Compact"/>
            </w:pPr>
            <w:r>
              <w:t xml:space="preserve">SAOP + SPO</w:t>
            </w:r>
          </w:p>
        </w:tc>
      </w:tr>
      <w:tr>
        <w:tc>
          <w:tcPr/>
          <w:p>
            <w:pPr>
              <w:pStyle w:val="Compact"/>
            </w:pPr>
            <w:r>
              <w:t xml:space="preserve">SORN Publication</w:t>
            </w:r>
          </w:p>
        </w:tc>
        <w:tc>
          <w:tcPr/>
          <w:p>
            <w:pPr>
              <w:pStyle w:val="Compact"/>
            </w:pPr>
            <w:r>
              <w:t xml:space="preserve">Required for all Privacy Act systems of records</w:t>
            </w:r>
          </w:p>
        </w:tc>
        <w:tc>
          <w:tcPr/>
          <w:p>
            <w:pPr>
              <w:pStyle w:val="Compact"/>
            </w:pPr>
            <w:r>
              <w:t xml:space="preserve">Published in Federal Register at least</w:t>
            </w:r>
            <w:r>
              <w:t xml:space="preserve"> </w:t>
            </w:r>
            <w:r>
              <w:rPr>
                <w:b/>
                <w:bCs/>
              </w:rPr>
              <w:t xml:space="preserve">30 days before</w:t>
            </w:r>
            <w:r>
              <w:t xml:space="preserve"> </w:t>
            </w:r>
            <w:r>
              <w:t xml:space="preserve">live PII collection</w:t>
            </w:r>
          </w:p>
        </w:tc>
        <w:tc>
          <w:tcPr/>
          <w:p>
            <w:pPr>
              <w:pStyle w:val="Compact"/>
            </w:pPr>
            <w:r>
              <w:t xml:space="preserve">Legal + SAOP</w:t>
            </w:r>
          </w:p>
        </w:tc>
      </w:tr>
      <w:tr>
        <w:tc>
          <w:tcPr/>
          <w:p>
            <w:pPr>
              <w:pStyle w:val="Compact"/>
            </w:pPr>
            <w:r>
              <w:t xml:space="preserve">PT-1 Privacy Program Plan</w:t>
            </w:r>
          </w:p>
        </w:tc>
        <w:tc>
          <w:tcPr/>
          <w:p>
            <w:pPr>
              <w:pStyle w:val="Compact"/>
            </w:pPr>
            <w:r>
              <w:t xml:space="preserve">Approved by SAOP and AO</w:t>
            </w:r>
          </w:p>
        </w:tc>
        <w:tc>
          <w:tcPr/>
          <w:p>
            <w:pPr>
              <w:pStyle w:val="Compact"/>
            </w:pPr>
            <w:r>
              <w:t xml:space="preserve">Before ATO submission</w:t>
            </w:r>
          </w:p>
        </w:tc>
        <w:tc>
          <w:tcPr/>
          <w:p>
            <w:pPr>
              <w:pStyle w:val="Compact"/>
            </w:pPr>
            <w:r>
              <w:t xml:space="preserve">SAOP</w:t>
            </w:r>
          </w:p>
        </w:tc>
      </w:tr>
      <w:tr>
        <w:tc>
          <w:tcPr/>
          <w:p>
            <w:pPr>
              <w:pStyle w:val="Compact"/>
            </w:pPr>
            <w:r>
              <w:t xml:space="preserve">PT-2 Legal Authority Matrix</w:t>
            </w:r>
          </w:p>
        </w:tc>
        <w:tc>
          <w:tcPr/>
          <w:p>
            <w:pPr>
              <w:pStyle w:val="Compact"/>
            </w:pPr>
            <w:r>
              <w:t xml:space="preserve">Completed for all PII categories</w:t>
            </w:r>
          </w:p>
        </w:tc>
        <w:tc>
          <w:tcPr/>
          <w:p>
            <w:pPr>
              <w:pStyle w:val="Compact"/>
            </w:pPr>
            <w:r>
              <w:t xml:space="preserve">Before ATO submission</w:t>
            </w:r>
          </w:p>
        </w:tc>
        <w:tc>
          <w:tcPr/>
          <w:p>
            <w:pPr>
              <w:pStyle w:val="Compact"/>
            </w:pPr>
            <w:r>
              <w:t xml:space="preserve">SPO + Legal</w:t>
            </w:r>
          </w:p>
        </w:tc>
      </w:tr>
      <w:tr>
        <w:tc>
          <w:tcPr/>
          <w:p>
            <w:pPr>
              <w:pStyle w:val="Compact"/>
            </w:pPr>
            <w:r>
              <w:t xml:space="preserve">PT-3 Purpose Specification</w:t>
            </w:r>
          </w:p>
        </w:tc>
        <w:tc>
          <w:tcPr/>
          <w:p>
            <w:pPr>
              <w:pStyle w:val="Compact"/>
            </w:pPr>
            <w:r>
              <w:t xml:space="preserve">Completed and Purview attributes configured</w:t>
            </w:r>
          </w:p>
        </w:tc>
        <w:tc>
          <w:tcPr/>
          <w:p>
            <w:pPr>
              <w:pStyle w:val="Compact"/>
            </w:pPr>
            <w:r>
              <w:t xml:space="preserve">Before ATO submission</w:t>
            </w:r>
          </w:p>
        </w:tc>
        <w:tc>
          <w:tcPr/>
          <w:p>
            <w:pPr>
              <w:pStyle w:val="Compact"/>
            </w:pPr>
            <w:r>
              <w:t xml:space="preserve">SPO + DevSecOps</w:t>
            </w:r>
          </w:p>
        </w:tc>
      </w:tr>
      <w:tr>
        <w:tc>
          <w:tcPr/>
          <w:p>
            <w:pPr>
              <w:pStyle w:val="Compact"/>
            </w:pPr>
            <w:r>
              <w:t xml:space="preserve">PT-5 Privacy Notice</w:t>
            </w:r>
          </w:p>
        </w:tc>
        <w:tc>
          <w:tcPr/>
          <w:p>
            <w:pPr>
              <w:pStyle w:val="Compact"/>
            </w:pPr>
            <w:r>
              <w:t xml:space="preserve">Published at stable URL; URL recorded in SSP</w:t>
            </w:r>
          </w:p>
        </w:tc>
        <w:tc>
          <w:tcPr/>
          <w:p>
            <w:pPr>
              <w:pStyle w:val="Compact"/>
            </w:pPr>
            <w:r>
              <w:t xml:space="preserve">Before go-live; at least 30 days before live PII collection</w:t>
            </w:r>
          </w:p>
        </w:tc>
        <w:tc>
          <w:tcPr/>
          <w:p>
            <w:pPr>
              <w:pStyle w:val="Compact"/>
            </w:pPr>
            <w:r>
              <w:t xml:space="preserve">Web team + SAOP</w:t>
            </w:r>
          </w:p>
        </w:tc>
      </w:tr>
      <w:tr>
        <w:tc>
          <w:tcPr/>
          <w:p>
            <w:pPr>
              <w:pStyle w:val="Compact"/>
            </w:pPr>
            <w:r>
              <w:t xml:space="preserve">Data Flow Map (§8)</w:t>
            </w:r>
          </w:p>
        </w:tc>
        <w:tc>
          <w:tcPr/>
          <w:p>
            <w:pPr>
              <w:pStyle w:val="Compact"/>
            </w:pPr>
            <w:r>
              <w:t xml:space="preserve">All four required scenarios documented</w:t>
            </w:r>
          </w:p>
        </w:tc>
        <w:tc>
          <w:tcPr/>
          <w:p>
            <w:pPr>
              <w:pStyle w:val="Compact"/>
            </w:pPr>
            <w:r>
              <w:t xml:space="preserve">Before the AO’s authorization decision</w:t>
            </w:r>
          </w:p>
        </w:tc>
        <w:tc>
          <w:tcPr/>
          <w:p>
            <w:pPr>
              <w:pStyle w:val="Compact"/>
            </w:pPr>
            <w:r>
              <w:t xml:space="preserve">DevSecOps + SPO</w:t>
            </w:r>
          </w:p>
        </w:tc>
      </w:tr>
      <w:tr>
        <w:tc>
          <w:tcPr/>
          <w:p>
            <w:pPr>
              <w:pStyle w:val="Compact"/>
            </w:pPr>
            <w:r>
              <w:t xml:space="preserve">First Annual Privacy Review</w:t>
            </w:r>
          </w:p>
        </w:tc>
        <w:tc>
          <w:tcPr/>
          <w:p>
            <w:pPr>
              <w:pStyle w:val="Compact"/>
            </w:pPr>
            <w:r>
              <w:t xml:space="preserve">Full review of all PT artifacts; independent assessment</w:t>
            </w:r>
          </w:p>
        </w:tc>
        <w:tc>
          <w:tcPr/>
          <w:p>
            <w:pPr>
              <w:pStyle w:val="Compact"/>
            </w:pPr>
            <w:r>
              <w:t xml:space="preserve">Within 365 days of ATO grant</w:t>
            </w:r>
          </w:p>
        </w:tc>
        <w:tc>
          <w:tcPr/>
          <w:p>
            <w:pPr>
              <w:pStyle w:val="Compact"/>
            </w:pPr>
            <w:r>
              <w:t xml:space="preserve">SAOP + independent assessor</w:t>
            </w:r>
          </w:p>
        </w:tc>
      </w:tr>
    </w:tbl>
    <w:p>
      <w:r>
        <w:pict>
          <v:rect style="width:0;height:1.5pt" o:hralign="center" o:hrstd="t" o:hr="t"/>
        </w:pict>
      </w:r>
    </w:p>
    <w:p>
      <w:pPr>
        <w:pStyle w:val="FirstParagraph"/>
      </w:pPr>
      <w:r>
        <w:rPr>
          <w:i/>
          <w:iCs/>
        </w:rPr>
        <w:t xml:space="preserve">End of Vol IV Book 04 — PII Processing and Transparency</w:t>
      </w:r>
    </w:p>
    <w:p>
      <w:pPr>
        <w:pStyle w:val="BodyText"/>
      </w:pPr>
      <w:r>
        <w:rPr>
          <w:i/>
          <w:iCs/>
        </w:rPr>
        <w:t xml:space="preserve">Previous: Vol IV Book 03 — Program Management Governance</w:t>
      </w:r>
    </w:p>
    <w:p>
      <w:pPr>
        <w:pStyle w:val="BodyText"/>
      </w:pPr>
      <w:r>
        <w:rPr>
          <w:i/>
          <w:iCs/>
        </w:rPr>
        <w:t xml:space="preserve">Series: Federal Compliance for Agency GCC Moderate FedRAMP 20x</w:t>
      </w:r>
    </w:p>
    <w:bookmarkEnd w:id="171"/>
    <w:bookmarkStart w:id="172" w:name="draft-proposal-subject-to-review-5"/>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2026-07-19 20:10 ET</w:t>
      </w:r>
    </w:p>
    <w:bookmarkEnd w:id="172"/>
    <w:p>
      <w:pPr>
        <w:pStyle w:val="BodyText"/>
      </w:pPr>
      <w:r>
        <w:rPr>
          <w:b/>
          <w:bCs/>
        </w:rPr>
        <w:t xml:space="preserve">Scope — control closure here; the academy in Volume V</w:t>
      </w:r>
      <w:r>
        <w:t xml:space="preserve"> </w:t>
      </w:r>
      <w:r>
        <w:t xml:space="preserve">— This book specifies the</w:t>
      </w:r>
      <w:r>
        <w:t xml:space="preserve"> </w:t>
      </w:r>
      <w:r>
        <w:rPr>
          <w:b/>
          <w:bCs/>
        </w:rPr>
        <w:t xml:space="preserve">AT-family training program and its control closure</w:t>
      </w:r>
      <w:r>
        <w:t xml:space="preserve"> </w:t>
      </w:r>
      <w:r>
        <w:t xml:space="preserve">(AT-2, AT-3, AT-4, CP-3, IR-2) and the shape of the KSI-CED training record. The full curriculum, labs, assessment rubrics, and certification are delivered by</w:t>
      </w:r>
      <w:r>
        <w:t xml:space="preserve"> </w:t>
      </w:r>
      <w:r>
        <w:rPr>
          <w:b/>
          <w:bCs/>
        </w:rPr>
        <w:t xml:space="preserve">Volume V — Training &amp; Certification</w:t>
      </w:r>
      <w:r>
        <w:t xml:space="preserve"> </w:t>
      </w:r>
      <w:r>
        <w:t xml:space="preserve">(</w:t>
      </w:r>
      <w:r>
        <w:rPr>
          <w:rStyle w:val="VerbatimChar"/>
        </w:rPr>
        <w:t xml:space="preserve">Vol_V_Book_00_Compliance_Training_Certification_Overview.qmd</w:t>
      </w:r>
      <w:r>
        <w:t xml:space="preserve">), which operationalizes this program and produces the</w:t>
      </w:r>
      <w:r>
        <w:t xml:space="preserve"> </w:t>
      </w:r>
      <w:r>
        <w:rPr>
          <w:rStyle w:val="VerbatimChar"/>
        </w:rPr>
        <w:t xml:space="preserve">training-effectiveness-record</w:t>
      </w:r>
      <w:r>
        <w:t xml:space="preserve"> </w:t>
      </w:r>
      <w:r>
        <w:t xml:space="preserve">that evidences the KSI-CED closure. This book remains the AT-family control-closure reference; Volume V is the enablement layer that teaches and certifies it. The two cross-reference rather than duplicate.</w:t>
      </w:r>
    </w:p>
    <w:bookmarkStart w:id="173" w:name="what-this-document-addresses-4"/>
    <w:p>
      <w:pPr>
        <w:pStyle w:val="Heading2"/>
      </w:pPr>
      <w:r>
        <w:t xml:space="preserve">What This Document Addresses</w:t>
      </w:r>
    </w:p>
    <w:p>
      <w:pPr>
        <w:pStyle w:val="FirstParagraph"/>
      </w:pPr>
      <w:r>
        <w:t xml:space="preserve">FedRAMP 20x authorization requires that a cybersecurity training program be</w:t>
      </w:r>
      <w:r>
        <w:t xml:space="preserve"> </w:t>
      </w:r>
      <w:r>
        <w:t xml:space="preserve">continuously demonstrable — not as a policy assertion, but as a</w:t>
      </w:r>
      <w:r>
        <w:t xml:space="preserve"> </w:t>
      </w:r>
      <w:r>
        <w:t xml:space="preserve">machine-readable record of completion across four distinct training</w:t>
      </w:r>
      <w:r>
        <w:t xml:space="preserve"> </w:t>
      </w:r>
      <w:r>
        <w:t xml:space="preserve">dimensions. This is the last remaining KSI that the series</w:t>
      </w:r>
      <w:r>
        <w:t xml:space="preserve"> </w:t>
      </w:r>
      <w:r>
        <w:t xml:space="preserve">cannot close through network, identity, or security architecture artifacts</w:t>
      </w:r>
      <w:r>
        <w:t xml:space="preserve"> </w:t>
      </w:r>
      <w:r>
        <w:t xml:space="preserve">alone: training requires a human participation record.</w:t>
      </w:r>
    </w:p>
    <w:p>
      <w:pPr>
        <w:pStyle w:val="BodyText"/>
      </w:pPr>
      <w:r>
        <w:t xml:space="preserve">This document provides:</w:t>
      </w:r>
    </w:p>
    <w:p>
      <w:pPr>
        <w:pStyle w:val="Compact"/>
        <w:numPr>
          <w:ilvl w:val="0"/>
          <w:numId w:val="1042"/>
        </w:numPr>
      </w:pPr>
      <w:r>
        <w:rPr>
          <w:b/>
          <w:bCs/>
        </w:rPr>
        <w:t xml:space="preserve">Training Program Architecture</w:t>
      </w:r>
      <w:r>
        <w:t xml:space="preserve"> </w:t>
      </w:r>
      <w:r>
        <w:t xml:space="preserve">— the four training dimensions this</w:t>
      </w:r>
      <w:r>
        <w:t xml:space="preserve"> </w:t>
      </w:r>
      <w:r>
        <w:t xml:space="preserve">program decomposes KSI-CED-RAT review into, mapped to AT-2, AT-3, AT-4,</w:t>
      </w:r>
      <w:r>
        <w:t xml:space="preserve"> </w:t>
      </w:r>
      <w:r>
        <w:t xml:space="preserve">CP-3, and IR-2</w:t>
      </w:r>
    </w:p>
    <w:p>
      <w:pPr>
        <w:pStyle w:val="Compact"/>
        <w:numPr>
          <w:ilvl w:val="0"/>
          <w:numId w:val="1042"/>
        </w:numPr>
      </w:pPr>
      <w:r>
        <w:rPr>
          <w:b/>
          <w:bCs/>
        </w:rPr>
        <w:t xml:space="preserve">General Security Awareness Training (AT-2)</w:t>
      </w:r>
      <w:r>
        <w:t xml:space="preserve"> </w:t>
      </w:r>
      <w:r>
        <w:t xml:space="preserve">— annual all-employee</w:t>
      </w:r>
      <w:r>
        <w:t xml:space="preserve"> </w:t>
      </w:r>
      <w:r>
        <w:t xml:space="preserve">program design, content requirements, and GCC Moderate delivery options</w:t>
      </w:r>
    </w:p>
    <w:p>
      <w:pPr>
        <w:pStyle w:val="Compact"/>
        <w:numPr>
          <w:ilvl w:val="0"/>
          <w:numId w:val="1042"/>
        </w:numPr>
      </w:pPr>
      <w:r>
        <w:rPr>
          <w:b/>
          <w:bCs/>
        </w:rPr>
        <w:t xml:space="preserve">Role-Based Training Program (AT-3)</w:t>
      </w:r>
      <w:r>
        <w:t xml:space="preserve"> </w:t>
      </w:r>
      <w:r>
        <w:t xml:space="preserve">— training matrices for six</w:t>
      </w:r>
      <w:r>
        <w:t xml:space="preserve"> </w:t>
      </w:r>
      <w:r>
        <w:t xml:space="preserve">high-risk role categories: system administrators, developers/engineers,</w:t>
      </w:r>
      <w:r>
        <w:t xml:space="preserve"> </w:t>
      </w:r>
      <w:r>
        <w:t xml:space="preserve">privileged access users, incident responders, data stewards, and</w:t>
      </w:r>
      <w:r>
        <w:t xml:space="preserve"> </w:t>
      </w:r>
      <w:r>
        <w:t xml:space="preserve">executives/program managers</w:t>
      </w:r>
    </w:p>
    <w:p>
      <w:pPr>
        <w:pStyle w:val="Compact"/>
        <w:numPr>
          <w:ilvl w:val="0"/>
          <w:numId w:val="1042"/>
        </w:numPr>
      </w:pPr>
      <w:r>
        <w:rPr>
          <w:b/>
          <w:bCs/>
        </w:rPr>
        <w:t xml:space="preserve">Training Records and LMS Integration (AT-4)</w:t>
      </w:r>
      <w:r>
        <w:t xml:space="preserve"> </w:t>
      </w:r>
      <w:r>
        <w:t xml:space="preserve">— machine-readable</w:t>
      </w:r>
      <w:r>
        <w:t xml:space="preserve"> </w:t>
      </w:r>
      <w:r>
        <w:t xml:space="preserve">completion record schema, Microsoft Viva Learning integration, and</w:t>
      </w:r>
      <w:r>
        <w:t xml:space="preserve"> </w:t>
      </w:r>
      <w:r>
        <w:t xml:space="preserve">export format for the governance substrate</w:t>
      </w:r>
    </w:p>
    <w:p>
      <w:pPr>
        <w:pStyle w:val="Compact"/>
        <w:numPr>
          <w:ilvl w:val="0"/>
          <w:numId w:val="1042"/>
        </w:numPr>
      </w:pPr>
      <w:r>
        <w:rPr>
          <w:b/>
          <w:bCs/>
        </w:rPr>
        <w:t xml:space="preserve">Contingency Training (CP-3)</w:t>
      </w:r>
      <w:r>
        <w:t xml:space="preserve"> </w:t>
      </w:r>
      <w:r>
        <w:t xml:space="preserve">— tabletop exercise calendar and</w:t>
      </w:r>
      <w:r>
        <w:t xml:space="preserve"> </w:t>
      </w:r>
      <w:r>
        <w:t xml:space="preserve">attendance documentation linking to Vol IV Book 01 (Business Continuity) DR runbooks</w:t>
      </w:r>
    </w:p>
    <w:p>
      <w:pPr>
        <w:pStyle w:val="Compact"/>
        <w:numPr>
          <w:ilvl w:val="0"/>
          <w:numId w:val="1042"/>
        </w:numPr>
      </w:pPr>
      <w:r>
        <w:rPr>
          <w:b/>
          <w:bCs/>
        </w:rPr>
        <w:t xml:space="preserve">Incident Response Training (IR-2)</w:t>
      </w:r>
      <w:r>
        <w:t xml:space="preserve"> </w:t>
      </w:r>
      <w:r>
        <w:t xml:space="preserve">— drill cadence, scenario library,</w:t>
      </w:r>
      <w:r>
        <w:t xml:space="preserve"> </w:t>
      </w:r>
      <w:r>
        <w:t xml:space="preserve">and after-action documentation linking to Vol III Book 06 (SIEM / XDR Detection) Sentinel playbooks</w:t>
      </w:r>
    </w:p>
    <w:p>
      <w:pPr>
        <w:pStyle w:val="Compact"/>
        <w:numPr>
          <w:ilvl w:val="0"/>
          <w:numId w:val="1042"/>
        </w:numPr>
      </w:pPr>
      <w:r>
        <w:rPr>
          <w:b/>
          <w:bCs/>
        </w:rPr>
        <w:t xml:space="preserve">KSI-CED-RAT Activation</w:t>
      </w:r>
      <w:r>
        <w:t xml:space="preserve"> </w:t>
      </w:r>
      <w:r>
        <w:t xml:space="preserve">— evidence contract wiring for KSI-022,</w:t>
      </w:r>
      <w:r>
        <w:t xml:space="preserve"> </w:t>
      </w:r>
      <w:r>
        <w:t xml:space="preserve">completing all 29 internal KSI-decomposition rules to evaluable status</w:t>
      </w:r>
    </w:p>
    <w:p>
      <w:pPr>
        <w:pStyle w:val="FirstParagraph"/>
      </w:pPr>
      <w:r>
        <w:t xml:space="preserve">Together these artifacts close five base NIST SP 800-53 Rev 5 controls plus</w:t>
      </w:r>
      <w:r>
        <w:t xml:space="preserve"> </w:t>
      </w:r>
      <w:r>
        <w:t xml:space="preserve">four enhancements (nine closure rows) across the AT, CP, and IR families, activate the final scaffold KSI in the internal</w:t>
      </w:r>
      <w:r>
        <w:t xml:space="preserve"> </w:t>
      </w:r>
      <w:r>
        <w:t xml:space="preserve">ruleset, and produce the machine-readable training-effectiveness record</w:t>
      </w:r>
      <w:r>
        <w:t xml:space="preserve"> </w:t>
      </w:r>
      <w:r>
        <w:t xml:space="preserve">required for FedRAMP 20x continuous monitoring.</w:t>
      </w:r>
    </w:p>
    <w:p>
      <w:r>
        <w:pict>
          <v:rect style="width:0;height:1.5pt" o:hralign="center" o:hrstd="t" o:hr="t"/>
        </w:pict>
      </w:r>
    </w:p>
    <w:bookmarkEnd w:id="173"/>
    <w:bookmarkEnd w:id="174"/>
    <w:bookmarkStart w:id="178" w:name="X225662609e730bef0f7f410a047a24f25cc1c08"/>
    <w:p>
      <w:pPr>
        <w:pStyle w:val="Heading1"/>
      </w:pPr>
      <w:r>
        <w:t xml:space="preserve">Cybersecurity Training in the FedRAMP 20x Context</w:t>
      </w:r>
    </w:p>
    <w:bookmarkStart w:id="175" w:name="Xa8f12a9ad2cc53cad5d035299ebf6be0774842e"/>
    <w:p>
      <w:pPr>
        <w:pStyle w:val="Heading2"/>
      </w:pPr>
      <w:r>
        <w:t xml:space="preserve">Why Training Cannot Be Closed by Architecture Alone</w:t>
      </w:r>
    </w:p>
    <w:p>
      <w:pPr>
        <w:pStyle w:val="FirstParagraph"/>
      </w:pPr>
      <w:r>
        <w:t xml:space="preserve">Every other control family in this series can be closed by infrastructure</w:t>
      </w:r>
      <w:r>
        <w:t xml:space="preserve"> </w:t>
      </w:r>
      <w:r>
        <w:t xml:space="preserve">configuration — a DNS resolver enforces SC-7, an Entra Conditional Access</w:t>
      </w:r>
      <w:r>
        <w:t xml:space="preserve"> </w:t>
      </w:r>
      <w:r>
        <w:t xml:space="preserve">policy enforces AC-3, a Sentinel rule satisfies AU-6. Training controls are</w:t>
      </w:r>
      <w:r>
        <w:t xml:space="preserve"> </w:t>
      </w:r>
      <w:r>
        <w:t xml:space="preserve">different. AT-2, AT-3, and AT-4 require human participation recorded in a</w:t>
      </w:r>
      <w:r>
        <w:t xml:space="preserve"> </w:t>
      </w:r>
      <w:r>
        <w:t xml:space="preserve">system that produces queryable completion evidence.</w:t>
      </w:r>
    </w:p>
    <w:p>
      <w:pPr>
        <w:pStyle w:val="BodyText"/>
      </w:pPr>
      <w:r>
        <w:t xml:space="preserve">FedRAMP 20x KSI-CED-RAT (</w:t>
      </w:r>
      <w:r>
        <w:t xml:space="preserve">“Reviewing All Training”</w:t>
      </w:r>
      <w:r>
        <w:t xml:space="preserve">) evaluates whether the</w:t>
      </w:r>
      <w:r>
        <w:t xml:space="preserve"> </w:t>
      </w:r>
      <w:r>
        <w:t xml:space="preserve">organization</w:t>
      </w:r>
      <w:r>
        <w:t xml:space="preserve"> </w:t>
      </w:r>
      <w:r>
        <w:rPr>
          <w:b/>
          <w:bCs/>
        </w:rPr>
        <w:t xml:space="preserve">persistently reviews</w:t>
      </w:r>
      <w:r>
        <w:t xml:space="preserve"> </w:t>
      </w:r>
      <w:r>
        <w:t xml:space="preserve">training effectiveness across four</w:t>
      </w:r>
      <w:r>
        <w:t xml:space="preserve"> </w:t>
      </w:r>
      <w:r>
        <w:t xml:space="preserve">dimensions. The word</w:t>
      </w:r>
      <w:r>
        <w:t xml:space="preserve"> </w:t>
      </w:r>
      <w:r>
        <w:t xml:space="preserve">“persistently”</w:t>
      </w:r>
      <w:r>
        <w:t xml:space="preserve"> </w:t>
      </w:r>
      <w:r>
        <w:t xml:space="preserve">is deliberate — a one-time training</w:t>
      </w:r>
      <w:r>
        <w:t xml:space="preserve"> </w:t>
      </w:r>
      <w:r>
        <w:t xml:space="preserve">event satisfies nothing. The KSI evaluates whether the organization</w:t>
      </w:r>
      <w:r>
        <w:t xml:space="preserve"> </w:t>
      </w:r>
      <w:r>
        <w:t xml:space="preserve">maintains a continuous, structured review of training coverage, and whether</w:t>
      </w:r>
      <w:r>
        <w:t xml:space="preserve"> </w:t>
      </w:r>
      <w:r>
        <w:t xml:space="preserve">that review is backed by evidence in machine-readable form.</w:t>
      </w:r>
    </w:p>
    <w:p>
      <w:pPr>
        <w:pStyle w:val="BodyText"/>
      </w:pPr>
      <w:r>
        <w:t xml:space="preserve">The four training dimensions this program decomposes KSI-CED-RAT review into:</w:t>
      </w:r>
    </w:p>
    <w:p>
      <w:pPr>
        <w:pStyle w:val="TableCaption"/>
      </w:pPr>
      <w:r>
        <w:t xml:space="preserve">KSI-CED-RAT — Four Required Training Dimensions</w:t>
      </w:r>
    </w:p>
    <w:tbl>
      <w:tblPr>
        <w:tblStyle w:val="Table"/>
        <w:tblW w:type="pct" w:w="5000"/>
        <w:tblLayout w:type="fixed"/>
        <w:tblLook w:firstRow="1" w:lastRow="0" w:firstColumn="0" w:lastColumn="0" w:noHBand="0" w:noVBand="0" w:val="0020"/>
        <w:tblCaption w:val="KSI-CED-RAT — Four Required Training Dimensions"/>
      </w:tblPr>
      <w:tblGrid>
        <w:gridCol w:w="1742"/>
        <w:gridCol w:w="1584"/>
        <w:gridCol w:w="2217"/>
        <w:gridCol w:w="2376"/>
      </w:tblGrid>
      <w:tr>
        <w:trPr>
          <w:tblHeader w:val="on"/>
        </w:trPr>
        <w:tc>
          <w:tcPr/>
          <w:p>
            <w:pPr>
              <w:pStyle w:val="Compact"/>
            </w:pPr>
            <w:r>
              <w:t xml:space="preserve">Dimension</w:t>
            </w:r>
          </w:p>
        </w:tc>
        <w:tc>
          <w:tcPr/>
          <w:p>
            <w:pPr>
              <w:pStyle w:val="Compact"/>
            </w:pPr>
            <w:r>
              <w:t xml:space="preserve">Coverage</w:t>
            </w:r>
          </w:p>
        </w:tc>
        <w:tc>
          <w:tcPr/>
          <w:p>
            <w:pPr>
              <w:pStyle w:val="Compact"/>
            </w:pPr>
            <w:r>
              <w:t xml:space="preserve">NIST Control</w:t>
            </w:r>
          </w:p>
        </w:tc>
        <w:tc>
          <w:tcPr/>
          <w:p>
            <w:pPr>
              <w:pStyle w:val="Compact"/>
            </w:pPr>
            <w:r>
              <w:t xml:space="preserve">Evidence Type</w:t>
            </w:r>
          </w:p>
        </w:tc>
      </w:tr>
      <w:tr>
        <w:tc>
          <w:tcPr/>
          <w:p>
            <w:pPr>
              <w:pStyle w:val="Compact"/>
            </w:pPr>
            <w:r>
              <w:t xml:space="preserve">General awareness</w:t>
            </w:r>
          </w:p>
        </w:tc>
        <w:tc>
          <w:tcPr/>
          <w:p>
            <w:pPr>
              <w:pStyle w:val="Compact"/>
            </w:pPr>
            <w:r>
              <w:t xml:space="preserve">All employees</w:t>
            </w:r>
          </w:p>
        </w:tc>
        <w:tc>
          <w:tcPr/>
          <w:p>
            <w:pPr>
              <w:pStyle w:val="Compact"/>
            </w:pPr>
            <w:r>
              <w:t xml:space="preserve">AT-2</w:t>
            </w:r>
          </w:p>
        </w:tc>
        <w:tc>
          <w:tcPr/>
          <w:p>
            <w:pPr>
              <w:pStyle w:val="Compact"/>
            </w:pPr>
            <w:r>
              <w:t xml:space="preserve">LMS completion record — all staff</w:t>
            </w:r>
          </w:p>
        </w:tc>
      </w:tr>
      <w:tr>
        <w:tc>
          <w:tcPr/>
          <w:p>
            <w:pPr>
              <w:pStyle w:val="Compact"/>
            </w:pPr>
            <w:r>
              <w:t xml:space="preserve">Role-specific</w:t>
            </w:r>
          </w:p>
        </w:tc>
        <w:tc>
          <w:tcPr/>
          <w:p>
            <w:pPr>
              <w:pStyle w:val="Compact"/>
            </w:pPr>
            <w:r>
              <w:t xml:space="preserve">High-risk roles</w:t>
            </w:r>
          </w:p>
        </w:tc>
        <w:tc>
          <w:tcPr/>
          <w:p>
            <w:pPr>
              <w:pStyle w:val="Compact"/>
            </w:pPr>
            <w:r>
              <w:t xml:space="preserve">AT-3</w:t>
            </w:r>
          </w:p>
        </w:tc>
        <w:tc>
          <w:tcPr/>
          <w:p>
            <w:pPr>
              <w:pStyle w:val="Compact"/>
            </w:pPr>
            <w:r>
              <w:t xml:space="preserve">LMS completion record — by role</w:t>
            </w:r>
          </w:p>
        </w:tc>
      </w:tr>
      <w:tr>
        <w:tc>
          <w:tcPr/>
          <w:p>
            <w:pPr>
              <w:pStyle w:val="Compact"/>
            </w:pPr>
            <w:r>
              <w:t xml:space="preserve">Secure delivery</w:t>
            </w:r>
          </w:p>
        </w:tc>
        <w:tc>
          <w:tcPr/>
          <w:p>
            <w:pPr>
              <w:pStyle w:val="Compact"/>
            </w:pPr>
            <w:r>
              <w:t xml:space="preserve">Developers / engineers</w:t>
            </w:r>
          </w:p>
        </w:tc>
        <w:tc>
          <w:tcPr/>
          <w:p>
            <w:pPr>
              <w:pStyle w:val="Compact"/>
            </w:pPr>
            <w:r>
              <w:t xml:space="preserve">AT-3, AT-3(3)</w:t>
            </w:r>
          </w:p>
        </w:tc>
        <w:tc>
          <w:tcPr/>
          <w:p>
            <w:pPr>
              <w:pStyle w:val="Compact"/>
            </w:pPr>
            <w:r>
              <w:t xml:space="preserve">Training certification or course transcript</w:t>
            </w:r>
          </w:p>
        </w:tc>
      </w:tr>
      <w:tr>
        <w:tc>
          <w:tcPr/>
          <w:p>
            <w:pPr>
              <w:pStyle w:val="Compact"/>
            </w:pPr>
            <w:r>
              <w:t xml:space="preserve">IR/DR</w:t>
            </w:r>
          </w:p>
        </w:tc>
        <w:tc>
          <w:tcPr/>
          <w:p>
            <w:pPr>
              <w:pStyle w:val="Compact"/>
            </w:pPr>
            <w:r>
              <w:t xml:space="preserve">Incident response and recovery personnel</w:t>
            </w:r>
          </w:p>
        </w:tc>
        <w:tc>
          <w:tcPr/>
          <w:p>
            <w:pPr>
              <w:pStyle w:val="Compact"/>
            </w:pPr>
            <w:r>
              <w:t xml:space="preserve">IR-2, CP-3</w:t>
            </w:r>
          </w:p>
        </w:tc>
        <w:tc>
          <w:tcPr/>
          <w:p>
            <w:pPr>
              <w:pStyle w:val="Compact"/>
            </w:pPr>
            <w:r>
              <w:t xml:space="preserve">Tabletop attendance record + after-action report</w:t>
            </w:r>
          </w:p>
        </w:tc>
      </w:tr>
    </w:tbl>
    <w:bookmarkEnd w:id="175"/>
    <w:bookmarkStart w:id="176" w:name="X75c2678665d29b146e6d4ce66e7f1a458d7e9bb"/>
    <w:p>
      <w:pPr>
        <w:pStyle w:val="Heading2"/>
      </w:pPr>
      <w:r>
        <w:t xml:space="preserve">The Relationship to Vol IV Book 01 and Vol IV Book 03</w:t>
      </w:r>
    </w:p>
    <w:p>
      <w:pPr>
        <w:pStyle w:val="FirstParagraph"/>
      </w:pPr>
      <w:r>
        <w:t xml:space="preserve">Vol IV Book 01 (Business Continuity) established the CP-2 Contingency Plan and</w:t>
      </w:r>
      <w:r>
        <w:t xml:space="preserve"> </w:t>
      </w:r>
      <w:r>
        <w:t xml:space="preserve">defined RTO/RPO/MTD targets. Vol IV Book 03 (Program Management) established the</w:t>
      </w:r>
      <w:r>
        <w:t xml:space="preserve"> </w:t>
      </w:r>
      <w:r>
        <w:t xml:space="preserve">PM-14 Testing, Training, and Monitoring Plan that schedules tabletop</w:t>
      </w:r>
      <w:r>
        <w:t xml:space="preserve"> </w:t>
      </w:r>
      <w:r>
        <w:t xml:space="preserve">exercises on an annual cadence. This document provides the training content,</w:t>
      </w:r>
      <w:r>
        <w:t xml:space="preserve"> </w:t>
      </w:r>
      <w:r>
        <w:t xml:space="preserve">role matrices, and evidence record schema that those frameworks reference.</w:t>
      </w:r>
    </w:p>
    <w:p>
      <w:pPr>
        <w:pStyle w:val="BodyText"/>
      </w:pPr>
      <w:r>
        <w:t xml:space="preserve">The PM-14 T&amp;T&amp;M Plan names training as a required activity. Vol IV Book 05</w:t>
      </w:r>
      <w:r>
        <w:t xml:space="preserve"> </w:t>
      </w:r>
      <w:r>
        <w:t xml:space="preserve">defines what that training contains, who must complete it, and how</w:t>
      </w:r>
      <w:r>
        <w:t xml:space="preserve"> </w:t>
      </w:r>
      <w:r>
        <w:t xml:space="preserve">completion is recorded in a form that the governance substrate can</w:t>
      </w:r>
      <w:r>
        <w:t xml:space="preserve"> </w:t>
      </w:r>
      <w:r>
        <w:t xml:space="preserve">ingest as a machine-readable KSI evidence signal.</w:t>
      </w:r>
    </w:p>
    <w:bookmarkEnd w:id="176"/>
    <w:bookmarkStart w:id="177" w:name="controls-closed-by-this-document"/>
    <w:p>
      <w:pPr>
        <w:pStyle w:val="Heading2"/>
      </w:pPr>
      <w:r>
        <w:t xml:space="preserve">Controls Closed by This Document</w:t>
      </w:r>
    </w:p>
    <w:p>
      <w:pPr>
        <w:pStyle w:val="TableCaption"/>
      </w:pPr>
      <w:r>
        <w:t xml:space="preserve">AT Family Control Closure — Vol IV Book 05</w:t>
      </w:r>
    </w:p>
    <w:tbl>
      <w:tblPr>
        <w:tblStyle w:val="Table"/>
        <w:tblW w:type="pct" w:w="5000"/>
        <w:tblLayout w:type="fixed"/>
        <w:tblLook w:firstRow="1" w:lastRow="0" w:firstColumn="0" w:lastColumn="0" w:noHBand="0" w:noVBand="0" w:val="0020"/>
        <w:tblCaption w:val="AT Family Control Closure — Vol IV Book 05"/>
      </w:tblPr>
      <w:tblGrid>
        <w:gridCol w:w="2036"/>
        <w:gridCol w:w="1584"/>
        <w:gridCol w:w="4299"/>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Closure Mechanism</w:t>
            </w:r>
          </w:p>
        </w:tc>
      </w:tr>
      <w:tr>
        <w:tc>
          <w:tcPr/>
          <w:p>
            <w:pPr>
              <w:pStyle w:val="Compact"/>
            </w:pPr>
            <w:r>
              <w:rPr>
                <w:b/>
                <w:bCs/>
              </w:rPr>
              <w:t xml:space="preserve">AT-2</w:t>
            </w:r>
          </w:p>
        </w:tc>
        <w:tc>
          <w:tcPr/>
          <w:p>
            <w:pPr>
              <w:pStyle w:val="Compact"/>
            </w:pPr>
            <w:r>
              <w:t xml:space="preserve">Literacy Training and Awareness</w:t>
            </w:r>
          </w:p>
        </w:tc>
        <w:tc>
          <w:tcPr/>
          <w:p>
            <w:pPr>
              <w:pStyle w:val="Compact"/>
            </w:pPr>
            <w:r>
              <w:t xml:space="preserve">Annual all-employee security awareness via Microsoft Viva Learning or equivalent; LMS completion record as evidence</w:t>
            </w:r>
          </w:p>
        </w:tc>
      </w:tr>
      <w:tr>
        <w:tc>
          <w:tcPr/>
          <w:p>
            <w:pPr>
              <w:pStyle w:val="Compact"/>
            </w:pPr>
            <w:r>
              <w:rPr>
                <w:b/>
                <w:bCs/>
              </w:rPr>
              <w:t xml:space="preserve">AT-2(1)</w:t>
            </w:r>
          </w:p>
        </w:tc>
        <w:tc>
          <w:tcPr/>
          <w:p>
            <w:pPr>
              <w:pStyle w:val="Compact"/>
            </w:pPr>
            <w:r>
              <w:t xml:space="preserve">Practical Exercises</w:t>
            </w:r>
          </w:p>
        </w:tc>
        <w:tc>
          <w:tcPr/>
          <w:p>
            <w:pPr>
              <w:pStyle w:val="Compact"/>
            </w:pPr>
            <w:r>
              <w:t xml:space="preserve">Phishing simulation exercises integrated into awareness program; simulation result record as evidence</w:t>
            </w:r>
          </w:p>
        </w:tc>
      </w:tr>
      <w:tr>
        <w:tc>
          <w:tcPr/>
          <w:p>
            <w:pPr>
              <w:pStyle w:val="Compact"/>
            </w:pPr>
            <w:r>
              <w:rPr>
                <w:b/>
                <w:bCs/>
              </w:rPr>
              <w:t xml:space="preserve">AT-2(2)</w:t>
            </w:r>
          </w:p>
        </w:tc>
        <w:tc>
          <w:tcPr/>
          <w:p>
            <w:pPr>
              <w:pStyle w:val="Compact"/>
            </w:pPr>
            <w:r>
              <w:t xml:space="preserve">Insider Threat</w:t>
            </w:r>
          </w:p>
        </w:tc>
        <w:tc>
          <w:tcPr/>
          <w:p>
            <w:pPr>
              <w:pStyle w:val="Compact"/>
            </w:pPr>
            <w:r>
              <w:t xml:space="preserve">Insider threat module within annual awareness program; included in LMS completion record</w:t>
            </w:r>
          </w:p>
        </w:tc>
      </w:tr>
      <w:tr>
        <w:tc>
          <w:tcPr/>
          <w:p>
            <w:pPr>
              <w:pStyle w:val="Compact"/>
            </w:pPr>
            <w:r>
              <w:rPr>
                <w:b/>
                <w:bCs/>
              </w:rPr>
              <w:t xml:space="preserve">AT-3</w:t>
            </w:r>
          </w:p>
        </w:tc>
        <w:tc>
          <w:tcPr/>
          <w:p>
            <w:pPr>
              <w:pStyle w:val="Compact"/>
            </w:pPr>
            <w:r>
              <w:t xml:space="preserve">Role-Based Training</w:t>
            </w:r>
          </w:p>
        </w:tc>
        <w:tc>
          <w:tcPr/>
          <w:p>
            <w:pPr>
              <w:pStyle w:val="Compact"/>
            </w:pPr>
            <w:r>
              <w:t xml:space="preserve">Role training matrix with six categories; role-specific LMS tracks with separate completion evidence</w:t>
            </w:r>
          </w:p>
        </w:tc>
      </w:tr>
      <w:tr>
        <w:tc>
          <w:tcPr/>
          <w:p>
            <w:pPr>
              <w:pStyle w:val="Compact"/>
            </w:pPr>
            <w:r>
              <w:rPr>
                <w:b/>
                <w:bCs/>
              </w:rPr>
              <w:t xml:space="preserve">AT-3(3)</w:t>
            </w:r>
          </w:p>
        </w:tc>
        <w:tc>
          <w:tcPr/>
          <w:p>
            <w:pPr>
              <w:pStyle w:val="Compact"/>
            </w:pPr>
            <w:r>
              <w:t xml:space="preserve">Practical Exercises for High-Risk Roles</w:t>
            </w:r>
          </w:p>
        </w:tc>
        <w:tc>
          <w:tcPr/>
          <w:p>
            <w:pPr>
              <w:pStyle w:val="Compact"/>
            </w:pPr>
            <w:r>
              <w:t xml:space="preserve">Hands-on labs and scenario exercises for sysadmins, developers, and IR personnel</w:t>
            </w:r>
          </w:p>
        </w:tc>
      </w:tr>
      <w:tr>
        <w:tc>
          <w:tcPr/>
          <w:p>
            <w:pPr>
              <w:pStyle w:val="Compact"/>
            </w:pPr>
            <w:r>
              <w:rPr>
                <w:b/>
                <w:bCs/>
              </w:rPr>
              <w:t xml:space="preserve">AT-3(5)</w:t>
            </w:r>
          </w:p>
        </w:tc>
        <w:tc>
          <w:tcPr/>
          <w:p>
            <w:pPr>
              <w:pStyle w:val="Compact"/>
            </w:pPr>
            <w:r>
              <w:t xml:space="preserve">Processing Personally Identifiable Information</w:t>
            </w:r>
          </w:p>
        </w:tc>
        <w:tc>
          <w:tcPr/>
          <w:p>
            <w:pPr>
              <w:pStyle w:val="Compact"/>
            </w:pPr>
            <w:r>
              <w:t xml:space="preserve">PII awareness module for data stewards, connecting to Vol IV Book 04 (PII Processing &amp; Transparency) PT family</w:t>
            </w:r>
          </w:p>
        </w:tc>
      </w:tr>
      <w:tr>
        <w:tc>
          <w:tcPr/>
          <w:p>
            <w:pPr>
              <w:pStyle w:val="Compact"/>
            </w:pPr>
            <w:r>
              <w:rPr>
                <w:b/>
                <w:bCs/>
              </w:rPr>
              <w:t xml:space="preserve">AT-4</w:t>
            </w:r>
          </w:p>
        </w:tc>
        <w:tc>
          <w:tcPr/>
          <w:p>
            <w:pPr>
              <w:pStyle w:val="Compact"/>
            </w:pPr>
            <w:r>
              <w:t xml:space="preserve">Training Records</w:t>
            </w:r>
          </w:p>
        </w:tc>
        <w:tc>
          <w:tcPr/>
          <w:p>
            <w:pPr>
              <w:pStyle w:val="Compact"/>
            </w:pPr>
            <w:r>
              <w:t xml:space="preserve">LMS export in JSON/CSV format; monthly snapshot to governance substrate</w:t>
            </w:r>
          </w:p>
        </w:tc>
      </w:tr>
      <w:tr>
        <w:tc>
          <w:tcPr/>
          <w:p>
            <w:pPr>
              <w:pStyle w:val="Compact"/>
            </w:pPr>
            <w:r>
              <w:rPr>
                <w:b/>
                <w:bCs/>
              </w:rPr>
              <w:t xml:space="preserve">CP-3</w:t>
            </w:r>
          </w:p>
        </w:tc>
        <w:tc>
          <w:tcPr/>
          <w:p>
            <w:pPr>
              <w:pStyle w:val="Compact"/>
            </w:pPr>
            <w:r>
              <w:t xml:space="preserve">Contingency Training</w:t>
            </w:r>
          </w:p>
        </w:tc>
        <w:tc>
          <w:tcPr/>
          <w:p>
            <w:pPr>
              <w:pStyle w:val="Compact"/>
            </w:pPr>
            <w:r>
              <w:t xml:space="preserve">Annual tabletop exercise with attendance record; after-action report archived</w:t>
            </w:r>
          </w:p>
        </w:tc>
      </w:tr>
      <w:tr>
        <w:tc>
          <w:tcPr/>
          <w:p>
            <w:pPr>
              <w:pStyle w:val="Compact"/>
            </w:pPr>
            <w:r>
              <w:rPr>
                <w:b/>
                <w:bCs/>
              </w:rPr>
              <w:t xml:space="preserve">IR-2</w:t>
            </w:r>
          </w:p>
        </w:tc>
        <w:tc>
          <w:tcPr/>
          <w:p>
            <w:pPr>
              <w:pStyle w:val="Compact"/>
            </w:pPr>
            <w:r>
              <w:t xml:space="preserve">Incident Response Training</w:t>
            </w:r>
          </w:p>
        </w:tc>
        <w:tc>
          <w:tcPr/>
          <w:p>
            <w:pPr>
              <w:pStyle w:val="Compact"/>
            </w:pPr>
            <w:r>
              <w:t xml:space="preserve">Semi-annual IR drill; scenario library maintained by SOC; connects to Vol III Book 06 Sentinel playbooks</w:t>
            </w:r>
          </w:p>
        </w:tc>
      </w:tr>
    </w:tbl>
    <w:p>
      <w:pPr>
        <w:pStyle w:val="BlockText"/>
      </w:pPr>
      <w:r>
        <w:rPr>
          <w:b/>
          <w:bCs/>
        </w:rPr>
        <w:t xml:space="preserve">Closure Necessity — AT family and KSI-CED.</w:t>
      </w:r>
      <w:r>
        <w:t xml:space="preserve"> </w:t>
      </w:r>
      <w:r>
        <w:t xml:space="preserve">These controls close through</w:t>
      </w:r>
      <w:r>
        <w:t xml:space="preserve"> </w:t>
      </w:r>
      <w:r>
        <w:t xml:space="preserve">training evidence — LMS completion records, drill attendance, and</w:t>
      </w:r>
      <w:r>
        <w:t xml:space="preserve"> </w:t>
      </w:r>
      <w:r>
        <w:t xml:space="preserve">after-action reports — not through the network substrate. What the substrate</w:t>
      </w:r>
      <w:r>
        <w:t xml:space="preserve"> </w:t>
      </w:r>
      <w:r>
        <w:t xml:space="preserve">supplies is the curriculum: the program trains personnel on the architecture</w:t>
      </w:r>
      <w:r>
        <w:t xml:space="preserve"> </w:t>
      </w:r>
      <w:r>
        <w:t xml:space="preserve">the rest of this series builds — the authoritative naming and addressing</w:t>
      </w:r>
      <w:r>
        <w:t xml:space="preserve"> </w:t>
      </w:r>
      <w:r>
        <w:t xml:space="preserve">plane (Vol I Book 01), device identity at the port (Vol I Book 02), and certificate- and</w:t>
      </w:r>
      <w:r>
        <w:t xml:space="preserve"> </w:t>
      </w:r>
      <w:r>
        <w:t xml:space="preserve">token-based cryptographic identity (Vol I Book 03) — so the people operating the</w:t>
      </w:r>
      <w:r>
        <w:t xml:space="preserve"> </w:t>
      </w:r>
      <w:r>
        <w:t xml:space="preserve">substrate understand why it is configured the way it is. A trained workforce</w:t>
      </w:r>
      <w:r>
        <w:t xml:space="preserve"> </w:t>
      </w:r>
      <w:r>
        <w:t xml:space="preserve">is the one closure mechanism no configuration setting can substitute for, and</w:t>
      </w:r>
      <w:r>
        <w:t xml:space="preserve"> </w:t>
      </w:r>
      <w:r>
        <w:t xml:space="preserve">the series’ necessity claims elsewhere stay credible precisely because it</w:t>
      </w:r>
      <w:r>
        <w:t xml:space="preserve"> </w:t>
      </w:r>
      <w:r>
        <w:t xml:space="preserve">does not pretend otherwise.</w:t>
      </w:r>
    </w:p>
    <w:p>
      <w:r>
        <w:pict>
          <v:rect style="width:0;height:1.5pt" o:hralign="center" o:hrstd="t" o:hr="t"/>
        </w:pict>
      </w:r>
    </w:p>
    <w:bookmarkEnd w:id="177"/>
    <w:bookmarkEnd w:id="178"/>
    <w:bookmarkStart w:id="181" w:name="training-program-architecture"/>
    <w:p>
      <w:pPr>
        <w:pStyle w:val="Heading1"/>
      </w:pPr>
      <w:r>
        <w:t xml:space="preserve">Training Program Architecture</w:t>
      </w:r>
    </w:p>
    <w:bookmarkStart w:id="179" w:name="the-four-dimension-model"/>
    <w:p>
      <w:pPr>
        <w:pStyle w:val="Heading2"/>
      </w:pPr>
      <w:r>
        <w:t xml:space="preserve">The Four-Dimension Model</w:t>
      </w:r>
    </w:p>
    <w:p>
      <w:pPr>
        <w:pStyle w:val="FirstParagraph"/>
      </w:pPr>
      <w:r>
        <w:t xml:space="preserve">The training program is organized around the four dimensions KSI-CED-RAT</w:t>
      </w:r>
      <w:r>
        <w:t xml:space="preserve"> </w:t>
      </w:r>
      <w:r>
        <w:t xml:space="preserve">requires the organization to persistently review. Each dimension has a</w:t>
      </w:r>
      <w:r>
        <w:t xml:space="preserve"> </w:t>
      </w:r>
      <w:r>
        <w:t xml:space="preserve">distinct audience, delivery mechanism, frequency, and evidence type.</w:t>
      </w:r>
    </w:p>
    <w:bookmarkEnd w:id="179"/>
    <w:bookmarkStart w:id="180" w:name="program-governance"/>
    <w:p>
      <w:pPr>
        <w:pStyle w:val="Heading2"/>
      </w:pPr>
      <w:r>
        <w:t xml:space="preserve">Program Governance</w:t>
      </w:r>
    </w:p>
    <w:p>
      <w:pPr>
        <w:pStyle w:val="FirstParagraph"/>
      </w:pPr>
      <w:r>
        <w:t xml:space="preserve">The training program is governed by the following roles, which connect</w:t>
      </w:r>
      <w:r>
        <w:t xml:space="preserve"> </w:t>
      </w:r>
      <w:r>
        <w:t xml:space="preserve">directly to the RACI established in Vol IV Book 03:</w:t>
      </w:r>
    </w:p>
    <w:p>
      <w:pPr>
        <w:pStyle w:val="TableCaption"/>
      </w:pPr>
      <w:r>
        <w:t xml:space="preserve">Training Program RACI — Key Roles</w:t>
      </w:r>
    </w:p>
    <w:tbl>
      <w:tblPr>
        <w:tblStyle w:val="Table"/>
        <w:tblW w:type="pct" w:w="5000"/>
        <w:tblLayout w:type="fixed"/>
        <w:tblLook w:firstRow="1" w:lastRow="0" w:firstColumn="0" w:lastColumn="0" w:noHBand="0" w:noVBand="0" w:val="0020"/>
        <w:tblCaption w:val="Training Program RACI — Key Roles"/>
      </w:tblPr>
      <w:tblGrid>
        <w:gridCol w:w="2160"/>
        <w:gridCol w:w="5760"/>
      </w:tblGrid>
      <w:tr>
        <w:trPr>
          <w:tblHeader w:val="on"/>
        </w:trPr>
        <w:tc>
          <w:tcPr/>
          <w:p>
            <w:pPr>
              <w:pStyle w:val="Compact"/>
            </w:pPr>
            <w:r>
              <w:t xml:space="preserve">Role</w:t>
            </w:r>
          </w:p>
        </w:tc>
        <w:tc>
          <w:tcPr/>
          <w:p>
            <w:pPr>
              <w:pStyle w:val="Compact"/>
            </w:pPr>
            <w:r>
              <w:t xml:space="preserve">Responsibility</w:t>
            </w:r>
          </w:p>
        </w:tc>
      </w:tr>
      <w:tr>
        <w:tc>
          <w:tcPr/>
          <w:p>
            <w:pPr>
              <w:pStyle w:val="Compact"/>
            </w:pPr>
            <w:r>
              <w:rPr>
                <w:b/>
                <w:bCs/>
              </w:rPr>
              <w:t xml:space="preserve">ISSO</w:t>
            </w:r>
          </w:p>
        </w:tc>
        <w:tc>
          <w:tcPr/>
          <w:p>
            <w:pPr>
              <w:pStyle w:val="Compact"/>
            </w:pPr>
            <w:r>
              <w:t xml:space="preserve">Program owner; approves training content annually; signs off on AT-4 record accuracy</w:t>
            </w:r>
          </w:p>
        </w:tc>
      </w:tr>
      <w:tr>
        <w:tc>
          <w:tcPr/>
          <w:p>
            <w:pPr>
              <w:pStyle w:val="Compact"/>
            </w:pPr>
            <w:r>
              <w:rPr>
                <w:b/>
                <w:bCs/>
              </w:rPr>
              <w:t xml:space="preserve">ISSM</w:t>
            </w:r>
          </w:p>
        </w:tc>
        <w:tc>
          <w:tcPr/>
          <w:p>
            <w:pPr>
              <w:pStyle w:val="Compact"/>
            </w:pPr>
            <w:r>
              <w:t xml:space="preserve">Escalation point for role-based training gaps; receives quarterly completion dashboards</w:t>
            </w:r>
          </w:p>
        </w:tc>
      </w:tr>
      <w:tr>
        <w:tc>
          <w:tcPr/>
          <w:p>
            <w:pPr>
              <w:pStyle w:val="Compact"/>
            </w:pPr>
            <w:r>
              <w:rPr>
                <w:b/>
                <w:bCs/>
              </w:rPr>
              <w:t xml:space="preserve">HR / Training Coordinator</w:t>
            </w:r>
          </w:p>
        </w:tc>
        <w:tc>
          <w:tcPr/>
          <w:p>
            <w:pPr>
              <w:pStyle w:val="Compact"/>
            </w:pPr>
            <w:r>
              <w:t xml:space="preserve">Manages LMS enrollment, completion tracking, and export to governance substrate</w:t>
            </w:r>
          </w:p>
        </w:tc>
      </w:tr>
      <w:tr>
        <w:tc>
          <w:tcPr/>
          <w:p>
            <w:pPr>
              <w:pStyle w:val="Compact"/>
            </w:pPr>
            <w:r>
              <w:rPr>
                <w:b/>
                <w:bCs/>
              </w:rPr>
              <w:t xml:space="preserve">SOC Lead</w:t>
            </w:r>
          </w:p>
        </w:tc>
        <w:tc>
          <w:tcPr/>
          <w:p>
            <w:pPr>
              <w:pStyle w:val="Compact"/>
            </w:pPr>
            <w:r>
              <w:t xml:space="preserve">Owns IR drill calendar; authors scenario library; produces after-action reports</w:t>
            </w:r>
          </w:p>
        </w:tc>
      </w:tr>
      <w:tr>
        <w:tc>
          <w:tcPr/>
          <w:p>
            <w:pPr>
              <w:pStyle w:val="Compact"/>
            </w:pPr>
            <w:r>
              <w:rPr>
                <w:b/>
                <w:bCs/>
              </w:rPr>
              <w:t xml:space="preserve">COR / Program Manager</w:t>
            </w:r>
          </w:p>
        </w:tc>
        <w:tc>
          <w:tcPr/>
          <w:p>
            <w:pPr>
              <w:pStyle w:val="Compact"/>
            </w:pPr>
            <w:r>
              <w:t xml:space="preserve">Ensures contractor workforce completes applicable training tracks</w:t>
            </w:r>
          </w:p>
        </w:tc>
      </w:tr>
      <w:tr>
        <w:tc>
          <w:tcPr/>
          <w:p>
            <w:pPr>
              <w:pStyle w:val="Compact"/>
            </w:pPr>
            <w:r>
              <w:rPr>
                <w:b/>
                <w:bCs/>
              </w:rPr>
              <w:t xml:space="preserve">Supervisor (all levels)</w:t>
            </w:r>
          </w:p>
        </w:tc>
        <w:tc>
          <w:tcPr/>
          <w:p>
            <w:pPr>
              <w:pStyle w:val="Compact"/>
            </w:pPr>
            <w:r>
              <w:t xml:space="preserve">Accountable for direct report completion within their organization</w:t>
            </w:r>
          </w:p>
        </w:tc>
      </w:tr>
    </w:tbl>
    <w:p>
      <w:r>
        <w:pict>
          <v:rect style="width:0;height:1.5pt" o:hralign="center" o:hrstd="t" o:hr="t"/>
        </w:pict>
      </w:r>
    </w:p>
    <w:bookmarkEnd w:id="180"/>
    <w:bookmarkEnd w:id="181"/>
    <w:bookmarkStart w:id="185" w:name="Xcefb118f81abab16ec75021820981ffc595a0dc"/>
    <w:p>
      <w:pPr>
        <w:pStyle w:val="Heading1"/>
      </w:pPr>
      <w:r>
        <w:t xml:space="preserve">Dimension 1 — General Security Awareness Training (AT-2)</w:t>
      </w:r>
    </w:p>
    <w:bookmarkStart w:id="182" w:name="program-design"/>
    <w:p>
      <w:pPr>
        <w:pStyle w:val="Heading2"/>
      </w:pPr>
      <w:r>
        <w:t xml:space="preserve">Program Design</w:t>
      </w:r>
    </w:p>
    <w:p>
      <w:pPr>
        <w:pStyle w:val="FirstParagraph"/>
      </w:pPr>
      <w:r>
        <w:t xml:space="preserve">AT-2 requires security awareness training for all users of organizational</w:t>
      </w:r>
      <w:r>
        <w:t xml:space="preserve"> </w:t>
      </w:r>
      <w:r>
        <w:t xml:space="preserve">systems, including contractors and privileged users, before they are granted</w:t>
      </w:r>
      <w:r>
        <w:t xml:space="preserve"> </w:t>
      </w:r>
      <w:r>
        <w:t xml:space="preserve">access and on a recurring basis thereafter. For FedRAMP 20x, the recurring</w:t>
      </w:r>
      <w:r>
        <w:t xml:space="preserve"> </w:t>
      </w:r>
      <w:r>
        <w:t xml:space="preserve">basis must produce a persistent completion record — annual is the standard</w:t>
      </w:r>
      <w:r>
        <w:t xml:space="preserve"> </w:t>
      </w:r>
      <w:r>
        <w:t xml:space="preserve">minimum; quarterly refreshers are best practice for GCC Moderate systems.</w:t>
      </w:r>
    </w:p>
    <w:p>
      <w:pPr>
        <w:pStyle w:val="BodyText"/>
      </w:pPr>
      <w:r>
        <w:t xml:space="preserve">The general awareness program covers:</w:t>
      </w:r>
    </w:p>
    <w:p>
      <w:pPr>
        <w:pStyle w:val="TableCaption"/>
      </w:pPr>
      <w:r>
        <w:t xml:space="preserve">AT-2 General Awareness — Required Modules</w:t>
      </w:r>
    </w:p>
    <w:tbl>
      <w:tblPr>
        <w:tblStyle w:val="Table"/>
        <w:tblW w:type="pct" w:w="5000"/>
        <w:tblLayout w:type="fixed"/>
        <w:tblLook w:firstRow="1" w:lastRow="0" w:firstColumn="0" w:lastColumn="0" w:noHBand="0" w:noVBand="0" w:val="0020"/>
        <w:tblCaption w:val="AT-2 General Awareness — Required Modules"/>
      </w:tblPr>
      <w:tblGrid>
        <w:gridCol w:w="1760"/>
        <w:gridCol w:w="1980"/>
        <w:gridCol w:w="4180"/>
      </w:tblGrid>
      <w:tr>
        <w:trPr>
          <w:tblHeader w:val="on"/>
        </w:trPr>
        <w:tc>
          <w:tcPr/>
          <w:p>
            <w:pPr>
              <w:pStyle w:val="Compact"/>
            </w:pPr>
            <w:r>
              <w:t xml:space="preserve">Module</w:t>
            </w:r>
          </w:p>
        </w:tc>
        <w:tc>
          <w:tcPr/>
          <w:p>
            <w:pPr>
              <w:pStyle w:val="Compact"/>
            </w:pPr>
            <w:r>
              <w:t xml:space="preserve">Content</w:t>
            </w:r>
          </w:p>
        </w:tc>
        <w:tc>
          <w:tcPr/>
          <w:p>
            <w:pPr>
              <w:pStyle w:val="Compact"/>
            </w:pPr>
            <w:r>
              <w:t xml:space="preserve">Regulatory Driver</w:t>
            </w:r>
          </w:p>
        </w:tc>
      </w:tr>
      <w:tr>
        <w:tc>
          <w:tcPr/>
          <w:p>
            <w:pPr>
              <w:pStyle w:val="Compact"/>
            </w:pPr>
            <w:r>
              <w:rPr>
                <w:b/>
                <w:bCs/>
              </w:rPr>
              <w:t xml:space="preserve">Zero Trust Fundamentals</w:t>
            </w:r>
          </w:p>
        </w:tc>
        <w:tc>
          <w:tcPr/>
          <w:p>
            <w:pPr>
              <w:pStyle w:val="Compact"/>
            </w:pPr>
            <w:r>
              <w:t xml:space="preserve">Why implicit trust is gone; verify explicitly, least privilege, assume breach</w:t>
            </w:r>
          </w:p>
        </w:tc>
        <w:tc>
          <w:tcPr/>
          <w:p>
            <w:pPr>
              <w:pStyle w:val="Compact"/>
            </w:pPr>
            <w:r>
              <w:t xml:space="preserve">EO 14028, OMB M-22-09</w:t>
            </w:r>
          </w:p>
        </w:tc>
      </w:tr>
      <w:tr>
        <w:tc>
          <w:tcPr/>
          <w:p>
            <w:pPr>
              <w:pStyle w:val="Compact"/>
            </w:pPr>
            <w:r>
              <w:rPr>
                <w:b/>
                <w:bCs/>
              </w:rPr>
              <w:t xml:space="preserve">Phishing and Social Engineering</w:t>
            </w:r>
          </w:p>
        </w:tc>
        <w:tc>
          <w:tcPr/>
          <w:p>
            <w:pPr>
              <w:pStyle w:val="Compact"/>
            </w:pPr>
            <w:r>
              <w:t xml:space="preserve">Recognition, reporting, GCC-tenant spoofing patterns</w:t>
            </w:r>
          </w:p>
        </w:tc>
        <w:tc>
          <w:tcPr/>
          <w:p>
            <w:pPr>
              <w:pStyle w:val="Compact"/>
            </w:pPr>
            <w:r>
              <w:t xml:space="preserve">AT-2, CISA guidance</w:t>
            </w:r>
          </w:p>
        </w:tc>
      </w:tr>
      <w:tr>
        <w:tc>
          <w:tcPr/>
          <w:p>
            <w:pPr>
              <w:pStyle w:val="Compact"/>
            </w:pPr>
            <w:r>
              <w:rPr>
                <w:b/>
                <w:bCs/>
              </w:rPr>
              <w:t xml:space="preserve">Password and MFA Hygiene</w:t>
            </w:r>
          </w:p>
        </w:tc>
        <w:tc>
          <w:tcPr/>
          <w:p>
            <w:pPr>
              <w:pStyle w:val="Compact"/>
            </w:pPr>
            <w:r>
              <w:t xml:space="preserve">Entra MFA, FIDO2 keys, authenticator apps; why SMS is deprecated</w:t>
            </w:r>
          </w:p>
        </w:tc>
        <w:tc>
          <w:tcPr/>
          <w:p>
            <w:pPr>
              <w:pStyle w:val="Compact"/>
            </w:pPr>
            <w:r>
              <w:t xml:space="preserve">IA-5, CISA MFA guidance</w:t>
            </w:r>
          </w:p>
        </w:tc>
      </w:tr>
      <w:tr>
        <w:tc>
          <w:tcPr/>
          <w:p>
            <w:pPr>
              <w:pStyle w:val="Compact"/>
            </w:pPr>
            <w:r>
              <w:rPr>
                <w:b/>
                <w:bCs/>
              </w:rPr>
              <w:t xml:space="preserve">Insider Threat Awareness</w:t>
            </w:r>
          </w:p>
        </w:tc>
        <w:tc>
          <w:tcPr/>
          <w:p>
            <w:pPr>
              <w:pStyle w:val="Compact"/>
            </w:pPr>
            <w:r>
              <w:t xml:space="preserve">Behavioral indicators, reporting obligations, NITTF minimum standards / agency insider-threat program (EO 13587)</w:t>
            </w:r>
          </w:p>
        </w:tc>
        <w:tc>
          <w:tcPr/>
          <w:p>
            <w:pPr>
              <w:pStyle w:val="Compact"/>
            </w:pPr>
            <w:r>
              <w:t xml:space="preserve">AT-2(2), EO 13587</w:t>
            </w:r>
          </w:p>
        </w:tc>
      </w:tr>
      <w:tr>
        <w:tc>
          <w:tcPr/>
          <w:p>
            <w:pPr>
              <w:pStyle w:val="Compact"/>
            </w:pPr>
            <w:r>
              <w:rPr>
                <w:b/>
                <w:bCs/>
              </w:rPr>
              <w:t xml:space="preserve">Data Classification and Handling</w:t>
            </w:r>
          </w:p>
        </w:tc>
        <w:tc>
          <w:tcPr/>
          <w:p>
            <w:pPr>
              <w:pStyle w:val="Compact"/>
            </w:pPr>
            <w:r>
              <w:t xml:space="preserve">CUI markings, GCC-only sharing, Purview sensitivity labels</w:t>
            </w:r>
          </w:p>
        </w:tc>
        <w:tc>
          <w:tcPr/>
          <w:p>
            <w:pPr>
              <w:pStyle w:val="Compact"/>
            </w:pPr>
            <w:r>
              <w:t xml:space="preserve">Vol III Book 05, CUI policy</w:t>
            </w:r>
          </w:p>
        </w:tc>
      </w:tr>
      <w:tr>
        <w:tc>
          <w:tcPr/>
          <w:p>
            <w:pPr>
              <w:pStyle w:val="Compact"/>
            </w:pPr>
            <w:r>
              <w:rPr>
                <w:b/>
                <w:bCs/>
              </w:rPr>
              <w:t xml:space="preserve">Incident Reporting</w:t>
            </w:r>
          </w:p>
        </w:tc>
        <w:tc>
          <w:tcPr/>
          <w:p>
            <w:pPr>
              <w:pStyle w:val="Compact"/>
            </w:pPr>
            <w:r>
              <w:t xml:space="preserve">How to report a suspected incident; SOC contact; IR playbook entry points</w:t>
            </w:r>
          </w:p>
        </w:tc>
        <w:tc>
          <w:tcPr/>
          <w:p>
            <w:pPr>
              <w:pStyle w:val="Compact"/>
            </w:pPr>
            <w:r>
              <w:t xml:space="preserve">IR-6, Vol III Book 06</w:t>
            </w:r>
          </w:p>
        </w:tc>
      </w:tr>
      <w:tr>
        <w:tc>
          <w:tcPr/>
          <w:p>
            <w:pPr>
              <w:pStyle w:val="Compact"/>
            </w:pPr>
            <w:r>
              <w:rPr>
                <w:b/>
                <w:bCs/>
              </w:rPr>
              <w:t xml:space="preserve">Acceptable Use and Legal</w:t>
            </w:r>
          </w:p>
        </w:tc>
        <w:tc>
          <w:tcPr/>
          <w:p>
            <w:pPr>
              <w:pStyle w:val="Compact"/>
            </w:pPr>
            <w:r>
              <w:t xml:space="preserve">System use notice acknowledgment; FISMA obligations; personal device policy</w:t>
            </w:r>
          </w:p>
        </w:tc>
        <w:tc>
          <w:tcPr/>
          <w:p>
            <w:pPr>
              <w:pStyle w:val="Compact"/>
            </w:pPr>
            <w:r>
              <w:t xml:space="preserve">PL-4, AC-8</w:t>
            </w:r>
          </w:p>
        </w:tc>
      </w:tr>
      <w:tr>
        <w:tc>
          <w:tcPr/>
          <w:p>
            <w:pPr>
              <w:pStyle w:val="Compact"/>
            </w:pPr>
            <w:r>
              <w:rPr>
                <w:b/>
                <w:bCs/>
              </w:rPr>
              <w:t xml:space="preserve">Remote Work Security</w:t>
            </w:r>
          </w:p>
        </w:tc>
        <w:tc>
          <w:tcPr/>
          <w:p>
            <w:pPr>
              <w:pStyle w:val="Compact"/>
            </w:pPr>
            <w:r>
              <w:t xml:space="preserve">VPN, ZTNA, home network risks, shoulder surfing</w:t>
            </w:r>
          </w:p>
        </w:tc>
        <w:tc>
          <w:tcPr/>
          <w:p>
            <w:pPr>
              <w:pStyle w:val="Compact"/>
            </w:pPr>
            <w:r>
              <w:t xml:space="preserve">AC-17, Vol I Book 06</w:t>
            </w:r>
          </w:p>
        </w:tc>
      </w:tr>
    </w:tbl>
    <w:bookmarkEnd w:id="182"/>
    <w:bookmarkStart w:id="183" w:name="delivery-options-for-gcc-moderate"/>
    <w:p>
      <w:pPr>
        <w:pStyle w:val="Heading2"/>
      </w:pPr>
      <w:r>
        <w:t xml:space="preserve">Delivery Options for GCC Moderate</w:t>
      </w:r>
    </w:p>
    <w:p>
      <w:pPr>
        <w:pStyle w:val="FirstParagraph"/>
      </w:pPr>
      <w:r>
        <w:t xml:space="preserve">Federal agencies operating in GCC Moderate have several compliant delivery</w:t>
      </w:r>
      <w:r>
        <w:t xml:space="preserve"> </w:t>
      </w:r>
      <w:r>
        <w:t xml:space="preserve">options for general awareness training:</w:t>
      </w:r>
    </w:p>
    <w:p>
      <w:pPr>
        <w:pStyle w:val="TableCaption"/>
      </w:pPr>
      <w:r>
        <w:t xml:space="preserve">AT-2 Delivery Platform Options — GCC Moderate</w:t>
      </w:r>
    </w:p>
    <w:tbl>
      <w:tblPr>
        <w:tblStyle w:val="Table"/>
        <w:tblW w:type="pct" w:w="5000"/>
        <w:tblLayout w:type="fixed"/>
        <w:tblLook w:firstRow="1" w:lastRow="0" w:firstColumn="0" w:lastColumn="0" w:noHBand="0" w:noVBand="0" w:val="0020"/>
        <w:tblCaption w:val="AT-2 Delivery Platform Options — GCC Moderate"/>
      </w:tblPr>
      <w:tblGrid>
        <w:gridCol w:w="1584"/>
        <w:gridCol w:w="2692"/>
        <w:gridCol w:w="950"/>
        <w:gridCol w:w="2692"/>
      </w:tblGrid>
      <w:tr>
        <w:trPr>
          <w:tblHeader w:val="on"/>
        </w:trPr>
        <w:tc>
          <w:tcPr/>
          <w:p>
            <w:pPr>
              <w:pStyle w:val="Compact"/>
            </w:pPr>
            <w:r>
              <w:t xml:space="preserve">Platform</w:t>
            </w:r>
          </w:p>
        </w:tc>
        <w:tc>
          <w:tcPr/>
          <w:p>
            <w:pPr>
              <w:pStyle w:val="Compact"/>
            </w:pPr>
            <w:r>
              <w:t xml:space="preserve">GCC Availability</w:t>
            </w:r>
          </w:p>
        </w:tc>
        <w:tc>
          <w:tcPr/>
          <w:p>
            <w:pPr>
              <w:pStyle w:val="Compact"/>
            </w:pPr>
            <w:r>
              <w:t xml:space="preserve">Cost</w:t>
            </w:r>
          </w:p>
        </w:tc>
        <w:tc>
          <w:tcPr/>
          <w:p>
            <w:pPr>
              <w:pStyle w:val="Compact"/>
            </w:pPr>
            <w:r>
              <w:t xml:space="preserve">Evidence Format</w:t>
            </w:r>
          </w:p>
        </w:tc>
      </w:tr>
      <w:tr>
        <w:tc>
          <w:tcPr/>
          <w:p>
            <w:pPr>
              <w:pStyle w:val="Compact"/>
            </w:pPr>
            <w:r>
              <w:rPr>
                <w:b/>
                <w:bCs/>
              </w:rPr>
              <w:t xml:space="preserve">Microsoft Viva Learning</w:t>
            </w:r>
          </w:p>
        </w:tc>
        <w:tc>
          <w:tcPr/>
          <w:p>
            <w:pPr>
              <w:pStyle w:val="Compact"/>
            </w:pPr>
            <w:r>
              <w:t xml:space="preserve">Native GCC / GCC High</w:t>
            </w:r>
          </w:p>
        </w:tc>
        <w:tc>
          <w:tcPr/>
          <w:p>
            <w:pPr>
              <w:pStyle w:val="Compact"/>
            </w:pPr>
            <w:r>
              <w:t xml:space="preserve">M365 E3/E5 included</w:t>
            </w:r>
          </w:p>
        </w:tc>
        <w:tc>
          <w:tcPr/>
          <w:p>
            <w:pPr>
              <w:pStyle w:val="Compact"/>
            </w:pPr>
            <w:r>
              <w:t xml:space="preserve">JSON via Graph API; exports to governance substrate directly</w:t>
            </w:r>
          </w:p>
        </w:tc>
      </w:tr>
      <w:tr>
        <w:tc>
          <w:tcPr/>
          <w:p>
            <w:pPr>
              <w:pStyle w:val="Compact"/>
            </w:pPr>
            <w:r>
              <w:rPr>
                <w:b/>
                <w:bCs/>
              </w:rPr>
              <w:t xml:space="preserve">DoD Cyber Awareness Challenge</w:t>
            </w:r>
          </w:p>
        </w:tc>
        <w:tc>
          <w:tcPr/>
          <w:p>
            <w:pPr>
              <w:pStyle w:val="Compact"/>
            </w:pPr>
            <w:r>
              <w:t xml:space="preserve">Free; DoD-approved; GCC accessible</w:t>
            </w:r>
          </w:p>
        </w:tc>
        <w:tc>
          <w:tcPr/>
          <w:p>
            <w:pPr>
              <w:pStyle w:val="Compact"/>
            </w:pPr>
            <w:r>
              <w:t xml:space="preserve">Free</w:t>
            </w:r>
          </w:p>
        </w:tc>
        <w:tc>
          <w:tcPr/>
          <w:p>
            <w:pPr>
              <w:pStyle w:val="Compact"/>
            </w:pPr>
            <w:r>
              <w:t xml:space="preserve">ATCTS completion certificate (PDF/CSV export)</w:t>
            </w:r>
          </w:p>
        </w:tc>
      </w:tr>
      <w:tr>
        <w:tc>
          <w:tcPr/>
          <w:p>
            <w:pPr>
              <w:pStyle w:val="Compact"/>
            </w:pPr>
            <w:r>
              <w:rPr>
                <w:b/>
                <w:bCs/>
              </w:rPr>
              <w:t xml:space="preserve">CISA Cybersecurity Training</w:t>
            </w:r>
          </w:p>
        </w:tc>
        <w:tc>
          <w:tcPr/>
          <w:p>
            <w:pPr>
              <w:pStyle w:val="Compact"/>
            </w:pPr>
            <w:r>
              <w:t xml:space="preserve">free.cisa.gov; public access</w:t>
            </w:r>
          </w:p>
        </w:tc>
        <w:tc>
          <w:tcPr/>
          <w:p>
            <w:pPr>
              <w:pStyle w:val="Compact"/>
            </w:pPr>
            <w:r>
              <w:t xml:space="preserve">Free</w:t>
            </w:r>
          </w:p>
        </w:tc>
        <w:tc>
          <w:tcPr/>
          <w:p>
            <w:pPr>
              <w:pStyle w:val="Compact"/>
            </w:pPr>
            <w:r>
              <w:t xml:space="preserve">Manual transcript; requires AT-4 manual entry</w:t>
            </w:r>
          </w:p>
        </w:tc>
      </w:tr>
      <w:tr>
        <w:tc>
          <w:tcPr/>
          <w:p>
            <w:pPr>
              <w:pStyle w:val="Compact"/>
            </w:pPr>
            <w:r>
              <w:rPr>
                <w:b/>
                <w:bCs/>
              </w:rPr>
              <w:t xml:space="preserve">KnowBe4 / Proofpoint</w:t>
            </w:r>
          </w:p>
        </w:tc>
        <w:tc>
          <w:tcPr/>
          <w:p>
            <w:pPr>
              <w:pStyle w:val="Compact"/>
            </w:pPr>
            <w:r>
              <w:t xml:space="preserve">Commercial; GCC-compatible deployments</w:t>
            </w:r>
          </w:p>
        </w:tc>
        <w:tc>
          <w:tcPr/>
          <w:p>
            <w:pPr>
              <w:pStyle w:val="Compact"/>
            </w:pPr>
            <w:r>
              <w:t xml:space="preserve">Licensed</w:t>
            </w:r>
          </w:p>
        </w:tc>
        <w:tc>
          <w:tcPr/>
          <w:p>
            <w:pPr>
              <w:pStyle w:val="Compact"/>
            </w:pPr>
            <w:r>
              <w:t xml:space="preserve">API or CSV export; FedRAMP Moderate authorized</w:t>
            </w:r>
          </w:p>
        </w:tc>
      </w:tr>
      <w:tr>
        <w:tc>
          <w:tcPr/>
          <w:p>
            <w:pPr>
              <w:pStyle w:val="Compact"/>
            </w:pPr>
            <w:r>
              <w:rPr>
                <w:b/>
                <w:bCs/>
              </w:rPr>
              <w:t xml:space="preserve">SANS Security Awareness</w:t>
            </w:r>
          </w:p>
        </w:tc>
        <w:tc>
          <w:tcPr/>
          <w:p>
            <w:pPr>
              <w:pStyle w:val="Compact"/>
            </w:pPr>
            <w:r>
              <w:t xml:space="preserve">Commercial; FedRAMP-authorized</w:t>
            </w:r>
          </w:p>
        </w:tc>
        <w:tc>
          <w:tcPr/>
          <w:p>
            <w:pPr>
              <w:pStyle w:val="Compact"/>
            </w:pPr>
            <w:r>
              <w:t xml:space="preserve">Licensed</w:t>
            </w:r>
          </w:p>
        </w:tc>
        <w:tc>
          <w:tcPr/>
          <w:p>
            <w:pPr>
              <w:pStyle w:val="Compact"/>
            </w:pPr>
            <w:r>
              <w:t xml:space="preserve">API export; direct governance substrate integration possible</w:t>
            </w:r>
          </w:p>
        </w:tc>
      </w:tr>
    </w:tbl>
    <w:p>
      <w:pPr>
        <w:pStyle w:val="BodyText"/>
      </w:pPr>
      <w:r>
        <w:rPr>
          <w:b/>
          <w:bCs/>
        </w:rPr>
        <w:t xml:space="preserve">Recommended:</w:t>
      </w:r>
      <w:r>
        <w:t xml:space="preserve"> </w:t>
      </w:r>
      <w:r>
        <w:t xml:space="preserve">Microsoft Viva Learning for organizations already on M365</w:t>
      </w:r>
      <w:r>
        <w:t xml:space="preserve"> </w:t>
      </w:r>
      <w:r>
        <w:t xml:space="preserve">E3/E5 GCC. The Microsoft Graph API provides a structured JSON export of</w:t>
      </w:r>
      <w:r>
        <w:t xml:space="preserve"> </w:t>
      </w:r>
      <w:r>
        <w:t xml:space="preserve">completion records that maps directly to the AT-4 evidence schema and can</w:t>
      </w:r>
      <w:r>
        <w:t xml:space="preserve"> </w:t>
      </w:r>
      <w:r>
        <w:t xml:space="preserve">be automated into the governance substrate on a monthly pull cadence.</w:t>
      </w:r>
    </w:p>
    <w:p>
      <w:pPr>
        <w:pStyle w:val="BlockText"/>
      </w:pPr>
      <w:r>
        <w:rPr>
          <w:b/>
          <w:bCs/>
        </w:rPr>
        <w:t xml:space="preserve">The evidence contract is LMS-agnostic; Viva Learning is the current</w:t>
      </w:r>
      <w:r>
        <w:rPr>
          <w:b/>
          <w:bCs/>
        </w:rPr>
        <w:t xml:space="preserve"> </w:t>
      </w:r>
      <w:r>
        <w:rPr>
          <w:b/>
          <w:bCs/>
        </w:rPr>
        <w:t xml:space="preserve">adapter, not the contract.</w:t>
      </w:r>
      <w:r>
        <w:t xml:space="preserve"> </w:t>
      </w:r>
      <w:r>
        <w:t xml:space="preserve">KSI-CED-RAT is satisfied by the</w:t>
      </w:r>
      <w:r>
        <w:t xml:space="preserve"> </w:t>
      </w:r>
      <w:r>
        <w:rPr>
          <w:rStyle w:val="VerbatimChar"/>
        </w:rPr>
        <w:t xml:space="preserve">governance.training-effectiveness-record</w:t>
      </w:r>
      <w:r>
        <w:t xml:space="preserve"> </w:t>
      </w:r>
      <w:r>
        <w:t xml:space="preserve">JSON schema — any LMS in the</w:t>
      </w:r>
      <w:r>
        <w:t xml:space="preserve"> </w:t>
      </w:r>
      <w:r>
        <w:t xml:space="preserve">table above that can populate that schema satisfies the control identically.</w:t>
      </w:r>
      <w:r>
        <w:t xml:space="preserve"> </w:t>
      </w:r>
      <w:r>
        <w:t xml:space="preserve">This distinction is deliberate concentration-risk management: Microsoft has</w:t>
      </w:r>
      <w:r>
        <w:t xml:space="preserve"> </w:t>
      </w:r>
      <w:r>
        <w:t xml:space="preserve">retired other Viva components (Viva Goals, December 2025; Viva Topics,</w:t>
      </w:r>
      <w:r>
        <w:t xml:space="preserve"> </w:t>
      </w:r>
      <w:r>
        <w:t xml:space="preserve">February 2025) while redirecting investment toward Copilot, and although</w:t>
      </w:r>
      <w:r>
        <w:t xml:space="preserve"> </w:t>
      </w:r>
      <w:r>
        <w:t xml:space="preserve">Viva Learning itself is not retired, the evidence pipeline must not assume</w:t>
      </w:r>
      <w:r>
        <w:t xml:space="preserve"> </w:t>
      </w:r>
      <w:r>
        <w:t xml:space="preserve">its permanence.</w:t>
      </w:r>
      <w:r>
        <w:t xml:space="preserve"> </w:t>
      </w:r>
      <w:r>
        <w:rPr>
          <w:b/>
          <w:bCs/>
        </w:rPr>
        <w:t xml:space="preserve">Verify Viva Learning GCC feature parity at time of</w:t>
      </w:r>
      <w:r>
        <w:rPr>
          <w:b/>
          <w:bCs/>
        </w:rPr>
        <w:t xml:space="preserve"> </w:t>
      </w:r>
      <w:r>
        <w:rPr>
          <w:b/>
          <w:bCs/>
        </w:rPr>
        <w:t xml:space="preserve">deployment</w:t>
      </w:r>
      <w:r>
        <w:t xml:space="preserve">, and treat an LMS swap as an adapter change (new export</w:t>
      </w:r>
      <w:r>
        <w:t xml:space="preserve"> </w:t>
      </w:r>
      <w:r>
        <w:t xml:space="preserve">mapping), not a control change.</w:t>
      </w:r>
    </w:p>
    <w:bookmarkEnd w:id="183"/>
    <w:bookmarkStart w:id="184" w:name="phishing-simulation-at-21"/>
    <w:p>
      <w:pPr>
        <w:pStyle w:val="Heading2"/>
      </w:pPr>
      <w:r>
        <w:t xml:space="preserve">Phishing Simulation (AT-2(1))</w:t>
      </w:r>
    </w:p>
    <w:p>
      <w:pPr>
        <w:pStyle w:val="FirstParagraph"/>
      </w:pPr>
      <w:r>
        <w:t xml:space="preserve">Practical exercises are required under AT-2(1). Phishing simulation is the</w:t>
      </w:r>
      <w:r>
        <w:t xml:space="preserve"> </w:t>
      </w:r>
      <w:r>
        <w:t xml:space="preserve">standard federal mechanism. The simulation program must:</w:t>
      </w:r>
    </w:p>
    <w:p>
      <w:pPr>
        <w:pStyle w:val="Compact"/>
        <w:numPr>
          <w:ilvl w:val="0"/>
          <w:numId w:val="1043"/>
        </w:numPr>
      </w:pPr>
      <w:r>
        <w:t xml:space="preserve">Run at minimum</w:t>
      </w:r>
      <w:r>
        <w:t xml:space="preserve"> </w:t>
      </w:r>
      <w:r>
        <w:rPr>
          <w:b/>
          <w:bCs/>
        </w:rPr>
        <w:t xml:space="preserve">quarterly</w:t>
      </w:r>
      <w:r>
        <w:t xml:space="preserve"> </w:t>
      </w:r>
      <w:r>
        <w:t xml:space="preserve">campaigns across the full user population</w:t>
      </w:r>
    </w:p>
    <w:p>
      <w:pPr>
        <w:pStyle w:val="Compact"/>
        <w:numPr>
          <w:ilvl w:val="0"/>
          <w:numId w:val="1043"/>
        </w:numPr>
      </w:pPr>
      <w:r>
        <w:t xml:space="preserve">Track click rate, report rate, and training completion for those who</w:t>
      </w:r>
      <w:r>
        <w:t xml:space="preserve"> </w:t>
      </w:r>
      <w:r>
        <w:t xml:space="preserve">click (remedial training trigger)</w:t>
      </w:r>
    </w:p>
    <w:p>
      <w:pPr>
        <w:pStyle w:val="Compact"/>
        <w:numPr>
          <w:ilvl w:val="0"/>
          <w:numId w:val="1043"/>
        </w:numPr>
      </w:pPr>
      <w:r>
        <w:t xml:space="preserve">Export results in a structured format tied to user identity (not just</w:t>
      </w:r>
      <w:r>
        <w:t xml:space="preserve"> </w:t>
      </w:r>
      <w:r>
        <w:t xml:space="preserve">aggregate statistics) for AT-4 purposes</w:t>
      </w:r>
    </w:p>
    <w:p>
      <w:pPr>
        <w:pStyle w:val="Compact"/>
        <w:numPr>
          <w:ilvl w:val="0"/>
          <w:numId w:val="1043"/>
        </w:numPr>
      </w:pPr>
      <w:r>
        <w:t xml:space="preserve">Scenarios must include GCC-tenant spoof patterns — attackers impersonating</w:t>
      </w:r>
      <w:r>
        <w:t xml:space="preserve"> </w:t>
      </w:r>
      <w:r>
        <w:rPr>
          <w:rStyle w:val="VerbatimChar"/>
        </w:rPr>
        <w:t xml:space="preserve">.mil</w:t>
      </w:r>
      <w:r>
        <w:t xml:space="preserve"> </w:t>
      </w:r>
      <w:r>
        <w:t xml:space="preserve">or</w:t>
      </w:r>
      <w:r>
        <w:t xml:space="preserve"> </w:t>
      </w:r>
      <w:r>
        <w:rPr>
          <w:rStyle w:val="VerbatimChar"/>
        </w:rPr>
        <w:t xml:space="preserve">.gov</w:t>
      </w:r>
      <w:r>
        <w:t xml:space="preserve"> </w:t>
      </w:r>
      <w:r>
        <w:t xml:space="preserve">domains, or spoofing legitimate Microsoft 365 service</w:t>
      </w:r>
      <w:r>
        <w:t xml:space="preserve"> </w:t>
      </w:r>
      <w:r>
        <w:t xml:space="preserve">notifications</w:t>
      </w:r>
    </w:p>
    <w:p>
      <w:pPr>
        <w:pStyle w:val="FirstParagraph"/>
      </w:pPr>
      <w:r>
        <w:rPr>
          <w:b/>
          <w:bCs/>
        </w:rPr>
        <w:t xml:space="preserve">GCC Moderate options:</w:t>
      </w:r>
      <w:r>
        <w:t xml:space="preserve"> </w:t>
      </w:r>
      <w:r>
        <w:t xml:space="preserve">Microsoft Attack Simulator (Defender for Office</w:t>
      </w:r>
      <w:r>
        <w:t xml:space="preserve"> </w:t>
      </w:r>
      <w:r>
        <w:t xml:space="preserve">365 Plan 2, included in M365 E5 GCC) or KnowBe4 GCC-compatible deployment.</w:t>
      </w:r>
    </w:p>
    <w:p>
      <w:r>
        <w:pict>
          <v:rect style="width:0;height:1.5pt" o:hralign="center" o:hrstd="t" o:hr="t"/>
        </w:pict>
      </w:r>
    </w:p>
    <w:bookmarkEnd w:id="184"/>
    <w:bookmarkEnd w:id="185"/>
    <w:bookmarkStart w:id="190" w:name="dimension-2-role-based-training-at-3"/>
    <w:p>
      <w:pPr>
        <w:pStyle w:val="Heading1"/>
      </w:pPr>
      <w:r>
        <w:t xml:space="preserve">Dimension 2 — Role-Based Training (AT-3)</w:t>
      </w:r>
    </w:p>
    <w:bookmarkStart w:id="186" w:name="role-classification-and-training-matrix"/>
    <w:p>
      <w:pPr>
        <w:pStyle w:val="Heading2"/>
      </w:pPr>
      <w:r>
        <w:t xml:space="preserve">Role Classification and Training Matrix</w:t>
      </w:r>
    </w:p>
    <w:p>
      <w:pPr>
        <w:pStyle w:val="FirstParagraph"/>
      </w:pPr>
      <w:r>
        <w:t xml:space="preserve">AT-3 requires specialized training for personnel with assigned security</w:t>
      </w:r>
      <w:r>
        <w:t xml:space="preserve"> </w:t>
      </w:r>
      <w:r>
        <w:t xml:space="preserve">responsibilities. For FedRAMP 20x, this means any role that has elevated</w:t>
      </w:r>
      <w:r>
        <w:t xml:space="preserve"> </w:t>
      </w:r>
      <w:r>
        <w:t xml:space="preserve">access, system administration duties, or security-relevant functions. The</w:t>
      </w:r>
      <w:r>
        <w:t xml:space="preserve"> </w:t>
      </w:r>
      <w:r>
        <w:t xml:space="preserve">following six role tiers cover the GCC Moderate environment:</w:t>
      </w:r>
    </w:p>
    <w:p>
      <w:pPr>
        <w:pStyle w:val="TableCaption"/>
      </w:pPr>
      <w:r>
        <w:t xml:space="preserve">AT-3 Role-Based Training Matrix</w:t>
      </w:r>
    </w:p>
    <w:tbl>
      <w:tblPr>
        <w:tblStyle w:val="Table"/>
        <w:tblW w:type="pct" w:w="5000"/>
        <w:tblLayout w:type="fixed"/>
        <w:tblLook w:firstRow="1" w:lastRow="0" w:firstColumn="0" w:lastColumn="0" w:noHBand="0" w:noVBand="0" w:val="0020"/>
        <w:tblCaption w:val="AT-3 Role-Based Training Matrix"/>
      </w:tblPr>
      <w:tblGrid>
        <w:gridCol w:w="1361"/>
        <w:gridCol w:w="1237"/>
        <w:gridCol w:w="2598"/>
        <w:gridCol w:w="1361"/>
        <w:gridCol w:w="1361"/>
      </w:tblGrid>
      <w:tr>
        <w:trPr>
          <w:tblHeader w:val="on"/>
        </w:trPr>
        <w:tc>
          <w:tcPr/>
          <w:p>
            <w:pPr>
              <w:pStyle w:val="Compact"/>
            </w:pPr>
            <w:r>
              <w:t xml:space="preserve">Role Tier</w:t>
            </w:r>
          </w:p>
        </w:tc>
        <w:tc>
          <w:tcPr/>
          <w:p>
            <w:pPr>
              <w:pStyle w:val="Compact"/>
            </w:pPr>
            <w:r>
              <w:t xml:space="preserve">Examples</w:t>
            </w:r>
          </w:p>
        </w:tc>
        <w:tc>
          <w:tcPr/>
          <w:p>
            <w:pPr>
              <w:pStyle w:val="Compact"/>
            </w:pPr>
            <w:r>
              <w:t xml:space="preserve">Training Requirement</w:t>
            </w:r>
          </w:p>
        </w:tc>
        <w:tc>
          <w:tcPr/>
          <w:p>
            <w:pPr>
              <w:pStyle w:val="Compact"/>
            </w:pPr>
            <w:r>
              <w:t xml:space="preserve">Frequency</w:t>
            </w:r>
          </w:p>
        </w:tc>
        <w:tc>
          <w:tcPr/>
          <w:p>
            <w:pPr>
              <w:pStyle w:val="Compact"/>
            </w:pPr>
            <w:r>
              <w:t xml:space="preserve">Hours/Year</w:t>
            </w:r>
          </w:p>
        </w:tc>
      </w:tr>
      <w:tr>
        <w:tc>
          <w:tcPr/>
          <w:p>
            <w:pPr>
              <w:pStyle w:val="Compact"/>
            </w:pPr>
            <w:r>
              <w:rPr>
                <w:b/>
                <w:bCs/>
              </w:rPr>
              <w:t xml:space="preserve">Tier 1 — System Administrators</w:t>
            </w:r>
          </w:p>
        </w:tc>
        <w:tc>
          <w:tcPr/>
          <w:p>
            <w:pPr>
              <w:pStyle w:val="Compact"/>
            </w:pPr>
            <w:r>
              <w:t xml:space="preserve">Cloud admins, network engineers, InfoBlox admins, Entra Global Admins</w:t>
            </w:r>
          </w:p>
        </w:tc>
        <w:tc>
          <w:tcPr/>
          <w:p>
            <w:pPr>
              <w:pStyle w:val="Compact"/>
            </w:pPr>
            <w:r>
              <w:t xml:space="preserve">Azure Security fundamentals, Entra ID hardening, InfoBlox DDI security, Sentinel administration</w:t>
            </w:r>
          </w:p>
        </w:tc>
        <w:tc>
          <w:tcPr/>
          <w:p>
            <w:pPr>
              <w:pStyle w:val="Compact"/>
            </w:pPr>
            <w:r>
              <w:t xml:space="preserve">Annual + on new tool deployment</w:t>
            </w:r>
          </w:p>
        </w:tc>
        <w:tc>
          <w:tcPr/>
          <w:p>
            <w:pPr>
              <w:pStyle w:val="Compact"/>
            </w:pPr>
            <w:r>
              <w:t xml:space="preserve">24–40 hrs</w:t>
            </w:r>
          </w:p>
        </w:tc>
      </w:tr>
      <w:tr>
        <w:tc>
          <w:tcPr/>
          <w:p>
            <w:pPr>
              <w:pStyle w:val="Compact"/>
            </w:pPr>
            <w:r>
              <w:rPr>
                <w:b/>
                <w:bCs/>
              </w:rPr>
              <w:t xml:space="preserve">Tier 2 — Privileged Access Users</w:t>
            </w:r>
          </w:p>
        </w:tc>
        <w:tc>
          <w:tcPr/>
          <w:p>
            <w:pPr>
              <w:pStyle w:val="Compact"/>
            </w:pPr>
            <w:r>
              <w:t xml:space="preserve">PAW users, JIT-eligible roles, CyberArk vault users</w:t>
            </w:r>
          </w:p>
        </w:tc>
        <w:tc>
          <w:tcPr/>
          <w:p>
            <w:pPr>
              <w:pStyle w:val="Compact"/>
            </w:pPr>
            <w:r>
              <w:t xml:space="preserve">PAW architecture, Entra PIM workflow, session recording awareness</w:t>
            </w:r>
          </w:p>
        </w:tc>
        <w:tc>
          <w:tcPr/>
          <w:p>
            <w:pPr>
              <w:pStyle w:val="Compact"/>
            </w:pPr>
            <w:r>
              <w:t xml:space="preserve">Annual</w:t>
            </w:r>
          </w:p>
        </w:tc>
        <w:tc>
          <w:tcPr/>
          <w:p>
            <w:pPr>
              <w:pStyle w:val="Compact"/>
            </w:pPr>
            <w:r>
              <w:t xml:space="preserve">8–16 hrs</w:t>
            </w:r>
          </w:p>
        </w:tc>
      </w:tr>
      <w:tr>
        <w:tc>
          <w:tcPr/>
          <w:p>
            <w:pPr>
              <w:pStyle w:val="Compact"/>
            </w:pPr>
            <w:r>
              <w:rPr>
                <w:b/>
                <w:bCs/>
              </w:rPr>
              <w:t xml:space="preserve">Tier 3 — Developers / Engineers</w:t>
            </w:r>
          </w:p>
        </w:tc>
        <w:tc>
          <w:tcPr/>
          <w:p>
            <w:pPr>
              <w:pStyle w:val="Compact"/>
            </w:pPr>
            <w:r>
              <w:t xml:space="preserve">Application developers, DevSecOps engineers, pipeline owners</w:t>
            </w:r>
          </w:p>
        </w:tc>
        <w:tc>
          <w:tcPr/>
          <w:p>
            <w:pPr>
              <w:pStyle w:val="Compact"/>
            </w:pPr>
            <w:r>
              <w:t xml:space="preserve">Secure coding (OWASP Top 10), SBOM generation, dependency scanning, GitHub Actions security</w:t>
            </w:r>
          </w:p>
        </w:tc>
        <w:tc>
          <w:tcPr/>
          <w:p>
            <w:pPr>
              <w:pStyle w:val="Compact"/>
            </w:pPr>
            <w:r>
              <w:t xml:space="preserve">Annual + quarterly lab</w:t>
            </w:r>
          </w:p>
        </w:tc>
        <w:tc>
          <w:tcPr/>
          <w:p>
            <w:pPr>
              <w:pStyle w:val="Compact"/>
            </w:pPr>
            <w:r>
              <w:t xml:space="preserve">24–40 hrs</w:t>
            </w:r>
          </w:p>
        </w:tc>
      </w:tr>
      <w:tr>
        <w:tc>
          <w:tcPr/>
          <w:p>
            <w:pPr>
              <w:pStyle w:val="Compact"/>
            </w:pPr>
            <w:r>
              <w:rPr>
                <w:b/>
                <w:bCs/>
              </w:rPr>
              <w:t xml:space="preserve">Tier 4 — Incident Responders</w:t>
            </w:r>
          </w:p>
        </w:tc>
        <w:tc>
          <w:tcPr/>
          <w:p>
            <w:pPr>
              <w:pStyle w:val="Compact"/>
            </w:pPr>
            <w:r>
              <w:t xml:space="preserve">SOC analysts, IR team members, Sentinel operators</w:t>
            </w:r>
          </w:p>
        </w:tc>
        <w:tc>
          <w:tcPr/>
          <w:p>
            <w:pPr>
              <w:pStyle w:val="Compact"/>
            </w:pPr>
            <w:r>
              <w:t xml:space="preserve">KQL query writing, Sentinel playbook operation, IR procedure walkthroughs</w:t>
            </w:r>
          </w:p>
        </w:tc>
        <w:tc>
          <w:tcPr/>
          <w:p>
            <w:pPr>
              <w:pStyle w:val="Compact"/>
            </w:pPr>
            <w:r>
              <w:t xml:space="preserve">Semi-annual</w:t>
            </w:r>
          </w:p>
        </w:tc>
        <w:tc>
          <w:tcPr/>
          <w:p>
            <w:pPr>
              <w:pStyle w:val="Compact"/>
            </w:pPr>
            <w:r>
              <w:t xml:space="preserve">16–24 hrs</w:t>
            </w:r>
          </w:p>
        </w:tc>
      </w:tr>
      <w:tr>
        <w:tc>
          <w:tcPr/>
          <w:p>
            <w:pPr>
              <w:pStyle w:val="Compact"/>
            </w:pPr>
            <w:r>
              <w:rPr>
                <w:b/>
                <w:bCs/>
              </w:rPr>
              <w:t xml:space="preserve">Tier 5 — Data Stewards</w:t>
            </w:r>
          </w:p>
        </w:tc>
        <w:tc>
          <w:tcPr/>
          <w:p>
            <w:pPr>
              <w:pStyle w:val="Compact"/>
            </w:pPr>
            <w:r>
              <w:t xml:space="preserve">Records managers, HR system owners, PII processors</w:t>
            </w:r>
          </w:p>
        </w:tc>
        <w:tc>
          <w:tcPr/>
          <w:p>
            <w:pPr>
              <w:pStyle w:val="Compact"/>
            </w:pPr>
            <w:r>
              <w:t xml:space="preserve">CUI handling, Purview DLP policies, sensitivity label application, SORN obligations</w:t>
            </w:r>
          </w:p>
        </w:tc>
        <w:tc>
          <w:tcPr/>
          <w:p>
            <w:pPr>
              <w:pStyle w:val="Compact"/>
            </w:pPr>
            <w:r>
              <w:t xml:space="preserve">Annual</w:t>
            </w:r>
          </w:p>
        </w:tc>
        <w:tc>
          <w:tcPr/>
          <w:p>
            <w:pPr>
              <w:pStyle w:val="Compact"/>
            </w:pPr>
            <w:r>
              <w:t xml:space="preserve">8–12 hrs</w:t>
            </w:r>
          </w:p>
        </w:tc>
      </w:tr>
      <w:tr>
        <w:tc>
          <w:tcPr/>
          <w:p>
            <w:pPr>
              <w:pStyle w:val="Compact"/>
            </w:pPr>
            <w:r>
              <w:rPr>
                <w:b/>
                <w:bCs/>
              </w:rPr>
              <w:t xml:space="preserve">Tier 6 — Executives / Program Managers</w:t>
            </w:r>
          </w:p>
        </w:tc>
        <w:tc>
          <w:tcPr/>
          <w:p>
            <w:pPr>
              <w:pStyle w:val="Compact"/>
            </w:pPr>
            <w:r>
              <w:t xml:space="preserve">AO, PM, ISSM, COR, Contracting Officer</w:t>
            </w:r>
          </w:p>
        </w:tc>
        <w:tc>
          <w:tcPr/>
          <w:p>
            <w:pPr>
              <w:pStyle w:val="Compact"/>
            </w:pPr>
            <w:r>
              <w:t xml:space="preserve">Risk posture briefing, FedRAMP 20x obligation overview, POA&amp;M review process</w:t>
            </w:r>
          </w:p>
        </w:tc>
        <w:tc>
          <w:tcPr/>
          <w:p>
            <w:pPr>
              <w:pStyle w:val="Compact"/>
            </w:pPr>
            <w:r>
              <w:t xml:space="preserve">Annual</w:t>
            </w:r>
          </w:p>
        </w:tc>
        <w:tc>
          <w:tcPr/>
          <w:p>
            <w:pPr>
              <w:pStyle w:val="Compact"/>
            </w:pPr>
            <w:r>
              <w:t xml:space="preserve">4–8 hrs</w:t>
            </w:r>
          </w:p>
        </w:tc>
      </w:tr>
    </w:tbl>
    <w:bookmarkEnd w:id="186"/>
    <w:bookmarkStart w:id="187" w:name="Xfd0b000aec447b86bfc3b1b5410e379cf51221b"/>
    <w:p>
      <w:pPr>
        <w:pStyle w:val="Heading2"/>
      </w:pPr>
      <w:r>
        <w:t xml:space="preserve">Tier 1 — System Administrator Training Curriculum</w:t>
      </w:r>
    </w:p>
    <w:p>
      <w:pPr>
        <w:pStyle w:val="FirstParagraph"/>
      </w:pPr>
      <w:r>
        <w:t xml:space="preserve">System administrators represent the highest-risk role category in a FedRAMP</w:t>
      </w:r>
      <w:r>
        <w:t xml:space="preserve"> </w:t>
      </w:r>
      <w:r>
        <w:t xml:space="preserve">Moderate environment. Their training curriculum must cover the specific</w:t>
      </w:r>
      <w:r>
        <w:t xml:space="preserve"> </w:t>
      </w:r>
      <w:r>
        <w:t xml:space="preserve">technologies deployed in this series:</w:t>
      </w:r>
    </w:p>
    <w:p>
      <w:pPr>
        <w:pStyle w:val="TableCaption"/>
      </w:pPr>
      <w:r>
        <w:t xml:space="preserve">Tier 1 Sysadmin Training — Compliance-Aligned Curriculum</w:t>
      </w:r>
    </w:p>
    <w:tbl>
      <w:tblPr>
        <w:tblStyle w:val="Table"/>
        <w:tblW w:type="pct" w:w="5000"/>
        <w:tblLayout w:type="fixed"/>
        <w:tblLook w:firstRow="1" w:lastRow="0" w:firstColumn="0" w:lastColumn="0" w:noHBand="0" w:noVBand="0" w:val="0020"/>
        <w:tblCaption w:val="Tier 1 Sysadmin Training — Compliance-Aligned Curriculum"/>
      </w:tblPr>
      <w:tblGrid>
        <w:gridCol w:w="2941"/>
        <w:gridCol w:w="2036"/>
        <w:gridCol w:w="2941"/>
      </w:tblGrid>
      <w:tr>
        <w:trPr>
          <w:tblHeader w:val="on"/>
        </w:trPr>
        <w:tc>
          <w:tcPr/>
          <w:p>
            <w:pPr>
              <w:pStyle w:val="Compact"/>
            </w:pPr>
            <w:r>
              <w:t xml:space="preserve">Course Area</w:t>
            </w:r>
          </w:p>
        </w:tc>
        <w:tc>
          <w:tcPr/>
          <w:p>
            <w:pPr>
              <w:pStyle w:val="Compact"/>
            </w:pPr>
            <w:r>
              <w:t xml:space="preserve">Content</w:t>
            </w:r>
          </w:p>
        </w:tc>
        <w:tc>
          <w:tcPr/>
          <w:p>
            <w:pPr>
              <w:pStyle w:val="Compact"/>
            </w:pPr>
            <w:r>
              <w:t xml:space="preserve">Connects To</w:t>
            </w:r>
          </w:p>
        </w:tc>
      </w:tr>
      <w:tr>
        <w:tc>
          <w:tcPr/>
          <w:p>
            <w:pPr>
              <w:pStyle w:val="Compact"/>
            </w:pPr>
            <w:r>
              <w:t xml:space="preserve">InfoBlox DDI Security</w:t>
            </w:r>
          </w:p>
        </w:tc>
        <w:tc>
          <w:tcPr/>
          <w:p>
            <w:pPr>
              <w:pStyle w:val="Compact"/>
            </w:pPr>
            <w:r>
              <w:t xml:space="preserve">DNSSEC key management, RPZ rule maintenance, IPAM audit log review</w:t>
            </w:r>
          </w:p>
        </w:tc>
        <w:tc>
          <w:tcPr/>
          <w:p>
            <w:pPr>
              <w:pStyle w:val="Compact"/>
            </w:pPr>
            <w:r>
              <w:t xml:space="preserve">Vol I Book 01</w:t>
            </w:r>
          </w:p>
        </w:tc>
      </w:tr>
      <w:tr>
        <w:tc>
          <w:tcPr/>
          <w:p>
            <w:pPr>
              <w:pStyle w:val="Compact"/>
            </w:pPr>
            <w:r>
              <w:t xml:space="preserve">SD-WAN / SASE Administration</w:t>
            </w:r>
          </w:p>
        </w:tc>
        <w:tc>
          <w:tcPr/>
          <w:p>
            <w:pPr>
              <w:pStyle w:val="Compact"/>
            </w:pPr>
            <w:r>
              <w:t xml:space="preserve">IPsec key rotation, SASE policy updates, DIA circuit failover procedures</w:t>
            </w:r>
          </w:p>
        </w:tc>
        <w:tc>
          <w:tcPr/>
          <w:p>
            <w:pPr>
              <w:pStyle w:val="Compact"/>
            </w:pPr>
            <w:r>
              <w:t xml:space="preserve">Vol I Book 06</w:t>
            </w:r>
          </w:p>
        </w:tc>
      </w:tr>
      <w:tr>
        <w:tc>
          <w:tcPr/>
          <w:p>
            <w:pPr>
              <w:pStyle w:val="Compact"/>
            </w:pPr>
            <w:r>
              <w:t xml:space="preserve">Entra ID and Conditional Access</w:t>
            </w:r>
          </w:p>
        </w:tc>
        <w:tc>
          <w:tcPr/>
          <w:p>
            <w:pPr>
              <w:pStyle w:val="Compact"/>
            </w:pPr>
            <w:r>
              <w:t xml:space="preserve">Conditional Access policy design, MFA enforcement exceptions, break-glass account procedures</w:t>
            </w:r>
          </w:p>
        </w:tc>
        <w:tc>
          <w:tcPr/>
          <w:p>
            <w:pPr>
              <w:pStyle w:val="Compact"/>
            </w:pPr>
            <w:r>
              <w:t xml:space="preserve">Vol I Book 05</w:t>
            </w:r>
          </w:p>
        </w:tc>
      </w:tr>
      <w:tr>
        <w:tc>
          <w:tcPr/>
          <w:p>
            <w:pPr>
              <w:pStyle w:val="Compact"/>
            </w:pPr>
            <w:r>
              <w:t xml:space="preserve">Azure Arc and SQL Security</w:t>
            </w:r>
          </w:p>
        </w:tc>
        <w:tc>
          <w:tcPr/>
          <w:p>
            <w:pPr>
              <w:pStyle w:val="Compact"/>
            </w:pPr>
            <w:r>
              <w:t xml:space="preserve">Managed Identity token lifecycle, Arc extension updates, SQL login audit review</w:t>
            </w:r>
          </w:p>
        </w:tc>
        <w:tc>
          <w:tcPr/>
          <w:p>
            <w:pPr>
              <w:pStyle w:val="Compact"/>
            </w:pPr>
            <w:r>
              <w:t xml:space="preserve">Vol II Books 01–02</w:t>
            </w:r>
          </w:p>
        </w:tc>
      </w:tr>
      <w:tr>
        <w:tc>
          <w:tcPr/>
          <w:p>
            <w:pPr>
              <w:pStyle w:val="Compact"/>
            </w:pPr>
            <w:r>
              <w:t xml:space="preserve">Microsoft Sentinel Operations</w:t>
            </w:r>
          </w:p>
        </w:tc>
        <w:tc>
          <w:tcPr/>
          <w:p>
            <w:pPr>
              <w:pStyle w:val="Compact"/>
            </w:pPr>
            <w:r>
              <w:t xml:space="preserve">Connector health monitoring, analytics rule tuning, UEBA threshold calibration</w:t>
            </w:r>
          </w:p>
        </w:tc>
        <w:tc>
          <w:tcPr/>
          <w:p>
            <w:pPr>
              <w:pStyle w:val="Compact"/>
            </w:pPr>
            <w:r>
              <w:t xml:space="preserve">Vol III Book 06</w:t>
            </w:r>
          </w:p>
        </w:tc>
      </w:tr>
      <w:tr>
        <w:tc>
          <w:tcPr/>
          <w:p>
            <w:pPr>
              <w:pStyle w:val="Compact"/>
            </w:pPr>
            <w:r>
              <w:t xml:space="preserve">Privileged Access Management</w:t>
            </w:r>
          </w:p>
        </w:tc>
        <w:tc>
          <w:tcPr/>
          <w:p>
            <w:pPr>
              <w:pStyle w:val="Compact"/>
            </w:pPr>
            <w:r>
              <w:t xml:space="preserve">Entra PIM role activation, PAW maintenance, JIT request approval</w:t>
            </w:r>
          </w:p>
        </w:tc>
        <w:tc>
          <w:tcPr/>
          <w:p>
            <w:pPr>
              <w:pStyle w:val="Compact"/>
            </w:pPr>
            <w:r>
              <w:t xml:space="preserve">Vol III Book 01</w:t>
            </w:r>
          </w:p>
        </w:tc>
      </w:tr>
      <w:tr>
        <w:tc>
          <w:tcPr/>
          <w:p>
            <w:pPr>
              <w:pStyle w:val="Compact"/>
            </w:pPr>
            <w:r>
              <w:t xml:space="preserve">Vulnerability Management</w:t>
            </w:r>
          </w:p>
        </w:tc>
        <w:tc>
          <w:tcPr/>
          <w:p>
            <w:pPr>
              <w:pStyle w:val="Compact"/>
            </w:pPr>
            <w:r>
              <w:t xml:space="preserve">Defender MDVM dashboard interpretation, KEV remediation SLA tracking, WUfB ring management</w:t>
            </w:r>
          </w:p>
        </w:tc>
        <w:tc>
          <w:tcPr/>
          <w:p>
            <w:pPr>
              <w:pStyle w:val="Compact"/>
            </w:pPr>
            <w:r>
              <w:t xml:space="preserve">Vol III Book 02</w:t>
            </w:r>
          </w:p>
        </w:tc>
      </w:tr>
      <w:tr>
        <w:tc>
          <w:tcPr/>
          <w:p>
            <w:pPr>
              <w:pStyle w:val="Compact"/>
            </w:pPr>
            <w:r>
              <w:t xml:space="preserve">Backup and DR Operations</w:t>
            </w:r>
          </w:p>
        </w:tc>
        <w:tc>
          <w:tcPr/>
          <w:p>
            <w:pPr>
              <w:pStyle w:val="Compact"/>
            </w:pPr>
            <w:r>
              <w:t xml:space="preserve">Azure Site Recovery test procedures, SQL AG failover validation, RTO/RPO measurement</w:t>
            </w:r>
          </w:p>
        </w:tc>
        <w:tc>
          <w:tcPr/>
          <w:p>
            <w:pPr>
              <w:pStyle w:val="Compact"/>
            </w:pPr>
            <w:r>
              <w:t xml:space="preserve">Vol IV Book 01</w:t>
            </w:r>
          </w:p>
        </w:tc>
      </w:tr>
    </w:tbl>
    <w:bookmarkEnd w:id="187"/>
    <w:bookmarkStart w:id="188" w:name="Xaefdbf171dcd76c80ec202950dd7b3cb01c3f2d"/>
    <w:p>
      <w:pPr>
        <w:pStyle w:val="Heading2"/>
      </w:pPr>
      <w:r>
        <w:t xml:space="preserve">Tier 3 — Developer / Engineer Secure Delivery Training (AT-3, AT-3(3))</w:t>
      </w:r>
    </w:p>
    <w:p>
      <w:pPr>
        <w:pStyle w:val="FirstParagraph"/>
      </w:pPr>
      <w:r>
        <w:t xml:space="preserve">Developer training under AT-3 and AT-3(3) covers the secure delivery</w:t>
      </w:r>
      <w:r>
        <w:t xml:space="preserve"> </w:t>
      </w:r>
      <w:r>
        <w:t xml:space="preserve">practices established by the SBOM/VDR pipeline in Vol IV Book 02 (Supply Chain Risk Management):</w:t>
      </w:r>
    </w:p>
    <w:p>
      <w:pPr>
        <w:pStyle w:val="TableCaption"/>
      </w:pPr>
      <w:r>
        <w:t xml:space="preserve">Tier 3 Developer Secure Delivery Curriculum</w:t>
      </w:r>
    </w:p>
    <w:tbl>
      <w:tblPr>
        <w:tblStyle w:val="Table"/>
        <w:tblW w:type="pct" w:w="5000"/>
        <w:tblLayout w:type="fixed"/>
        <w:tblLook w:firstRow="1" w:lastRow="0" w:firstColumn="0" w:lastColumn="0" w:noHBand="0" w:noVBand="0" w:val="0020"/>
        <w:tblCaption w:val="Tier 3 Developer Secure Delivery Curriculum"/>
      </w:tblPr>
      <w:tblGrid>
        <w:gridCol w:w="1584"/>
        <w:gridCol w:w="2036"/>
        <w:gridCol w:w="4299"/>
      </w:tblGrid>
      <w:tr>
        <w:trPr>
          <w:tblHeader w:val="on"/>
        </w:trPr>
        <w:tc>
          <w:tcPr/>
          <w:p>
            <w:pPr>
              <w:pStyle w:val="Compact"/>
            </w:pPr>
            <w:r>
              <w:t xml:space="preserve">Topic</w:t>
            </w:r>
          </w:p>
        </w:tc>
        <w:tc>
          <w:tcPr/>
          <w:p>
            <w:pPr>
              <w:pStyle w:val="Compact"/>
            </w:pPr>
            <w:r>
              <w:t xml:space="preserve">Content</w:t>
            </w:r>
          </w:p>
        </w:tc>
        <w:tc>
          <w:tcPr/>
          <w:p>
            <w:pPr>
              <w:pStyle w:val="Compact"/>
            </w:pPr>
            <w:r>
              <w:t xml:space="preserve">Evidence Produced</w:t>
            </w:r>
          </w:p>
        </w:tc>
      </w:tr>
      <w:tr>
        <w:tc>
          <w:tcPr/>
          <w:p>
            <w:pPr>
              <w:pStyle w:val="Compact"/>
            </w:pPr>
            <w:r>
              <w:rPr>
                <w:b/>
                <w:bCs/>
              </w:rPr>
              <w:t xml:space="preserve">Dependency Management</w:t>
            </w:r>
          </w:p>
        </w:tc>
        <w:tc>
          <w:tcPr/>
          <w:p>
            <w:pPr>
              <w:pStyle w:val="Compact"/>
            </w:pPr>
            <w:r>
              <w:t xml:space="preserve">Pinning dependencies, evaluating transitive dependencies, understanding VDR/VEX fields</w:t>
            </w:r>
          </w:p>
        </w:tc>
        <w:tc>
          <w:tcPr/>
          <w:p>
            <w:pPr>
              <w:pStyle w:val="Compact"/>
            </w:pPr>
            <w:r>
              <w:t xml:space="preserve">SBOM generation fluency</w:t>
            </w:r>
          </w:p>
        </w:tc>
      </w:tr>
      <w:tr>
        <w:tc>
          <w:tcPr/>
          <w:p>
            <w:pPr>
              <w:pStyle w:val="Compact"/>
            </w:pPr>
            <w:r>
              <w:rPr>
                <w:b/>
                <w:bCs/>
              </w:rPr>
              <w:t xml:space="preserve">SBOM Generation (Syft)</w:t>
            </w:r>
          </w:p>
        </w:tc>
        <w:tc>
          <w:tcPr/>
          <w:p>
            <w:pPr>
              <w:pStyle w:val="Compact"/>
            </w:pPr>
            <w:r>
              <w:t xml:space="preserve">Running Syft against container images and repositories, CycloneDX format, attestation signing</w:t>
            </w:r>
          </w:p>
        </w:tc>
        <w:tc>
          <w:tcPr/>
          <w:p>
            <w:pPr>
              <w:pStyle w:val="Compact"/>
            </w:pPr>
            <w:r>
              <w:t xml:space="preserve">Vol IV Book 02 pipeline competency</w:t>
            </w:r>
          </w:p>
        </w:tc>
      </w:tr>
      <w:tr>
        <w:tc>
          <w:tcPr/>
          <w:p>
            <w:pPr>
              <w:pStyle w:val="Compact"/>
            </w:pPr>
            <w:r>
              <w:rPr>
                <w:b/>
                <w:bCs/>
              </w:rPr>
              <w:t xml:space="preserve">Vulnerability Triage (Grype)</w:t>
            </w:r>
          </w:p>
        </w:tc>
        <w:tc>
          <w:tcPr/>
          <w:p>
            <w:pPr>
              <w:pStyle w:val="Compact"/>
            </w:pPr>
            <w:r>
              <w:t xml:space="preserve">Interpreting Grype output, VEX exploitability assertions, BOD 26-04 D1–D5 SLA obligations</w:t>
            </w:r>
          </w:p>
        </w:tc>
        <w:tc>
          <w:tcPr/>
          <w:p>
            <w:pPr>
              <w:pStyle w:val="Compact"/>
            </w:pPr>
            <w:r>
              <w:t xml:space="preserve">Vol IV Book 02 pipeline competency</w:t>
            </w:r>
          </w:p>
        </w:tc>
      </w:tr>
      <w:tr>
        <w:tc>
          <w:tcPr/>
          <w:p>
            <w:pPr>
              <w:pStyle w:val="Compact"/>
            </w:pPr>
            <w:r>
              <w:rPr>
                <w:b/>
                <w:bCs/>
              </w:rPr>
              <w:t xml:space="preserve">GitHub Actions Security</w:t>
            </w:r>
          </w:p>
        </w:tc>
        <w:tc>
          <w:tcPr/>
          <w:p>
            <w:pPr>
              <w:pStyle w:val="Compact"/>
            </w:pPr>
            <w:r>
              <w:t xml:space="preserve">Secrets management, workflow permissions, OIDC token scoping, supply chain attack patterns</w:t>
            </w:r>
          </w:p>
        </w:tc>
        <w:tc>
          <w:tcPr/>
          <w:p>
            <w:pPr>
              <w:pStyle w:val="Compact"/>
            </w:pPr>
            <w:r>
              <w:t xml:space="preserve">Vol IV Book 02 pipeline integrity</w:t>
            </w:r>
          </w:p>
        </w:tc>
      </w:tr>
      <w:tr>
        <w:tc>
          <w:tcPr/>
          <w:p>
            <w:pPr>
              <w:pStyle w:val="Compact"/>
            </w:pPr>
            <w:r>
              <w:rPr>
                <w:b/>
                <w:bCs/>
              </w:rPr>
              <w:t xml:space="preserve">OWASP Top 10</w:t>
            </w:r>
          </w:p>
        </w:tc>
        <w:tc>
          <w:tcPr/>
          <w:p>
            <w:pPr>
              <w:pStyle w:val="Compact"/>
            </w:pPr>
            <w:r>
              <w:t xml:space="preserve">Injection, broken access control, cryptographic failures, XSS patterns</w:t>
            </w:r>
          </w:p>
        </w:tc>
        <w:tc>
          <w:tcPr/>
          <w:p>
            <w:pPr>
              <w:pStyle w:val="Compact"/>
            </w:pPr>
            <w:r>
              <w:t xml:space="preserve">SA-11, SA-15</w:t>
            </w:r>
          </w:p>
        </w:tc>
      </w:tr>
      <w:tr>
        <w:tc>
          <w:tcPr/>
          <w:p>
            <w:pPr>
              <w:pStyle w:val="Compact"/>
            </w:pPr>
            <w:r>
              <w:rPr>
                <w:b/>
                <w:bCs/>
              </w:rPr>
              <w:t xml:space="preserve">Secure Code Review</w:t>
            </w:r>
          </w:p>
        </w:tc>
        <w:tc>
          <w:tcPr/>
          <w:p>
            <w:pPr>
              <w:pStyle w:val="Compact"/>
            </w:pPr>
            <w:r>
              <w:t xml:space="preserve">What to look for in pull request review, dependency diff review</w:t>
            </w:r>
          </w:p>
        </w:tc>
        <w:tc>
          <w:tcPr/>
          <w:p>
            <w:pPr>
              <w:pStyle w:val="Compact"/>
            </w:pPr>
            <w:r>
              <w:t xml:space="preserve">SA-11(1)</w:t>
            </w:r>
          </w:p>
        </w:tc>
      </w:tr>
      <w:tr>
        <w:tc>
          <w:tcPr/>
          <w:p>
            <w:pPr>
              <w:pStyle w:val="Compact"/>
            </w:pPr>
            <w:r>
              <w:rPr>
                <w:b/>
                <w:bCs/>
              </w:rPr>
              <w:t xml:space="preserve">Incident Reporting from Dev</w:t>
            </w:r>
          </w:p>
        </w:tc>
        <w:tc>
          <w:tcPr/>
          <w:p>
            <w:pPr>
              <w:pStyle w:val="Compact"/>
            </w:pPr>
            <w:r>
              <w:t xml:space="preserve">How to report a suspected supply chain event; who to contact</w:t>
            </w:r>
          </w:p>
        </w:tc>
        <w:tc>
          <w:tcPr/>
          <w:p>
            <w:pPr>
              <w:pStyle w:val="Compact"/>
            </w:pPr>
            <w:r>
              <w:t xml:space="preserve">IR-6, Vol III Book 06</w:t>
            </w:r>
          </w:p>
        </w:tc>
      </w:tr>
    </w:tbl>
    <w:bookmarkEnd w:id="188"/>
    <w:bookmarkStart w:id="189" w:name="tier-5-data-steward-training-at-35"/>
    <w:p>
      <w:pPr>
        <w:pStyle w:val="Heading2"/>
      </w:pPr>
      <w:r>
        <w:t xml:space="preserve">Tier 5 — Data Steward Training (AT-3(5))</w:t>
      </w:r>
    </w:p>
    <w:p>
      <w:pPr>
        <w:pStyle w:val="FirstParagraph"/>
      </w:pPr>
      <w:r>
        <w:t xml:space="preserve">AT-3(5) requires training for personnel who process personally identifiable</w:t>
      </w:r>
      <w:r>
        <w:t xml:space="preserve"> </w:t>
      </w:r>
      <w:r>
        <w:t xml:space="preserve">information. This connects to Vol IV Book 04 (PII Processing and Transparency):</w:t>
      </w:r>
    </w:p>
    <w:p>
      <w:pPr>
        <w:pStyle w:val="Compact"/>
        <w:numPr>
          <w:ilvl w:val="0"/>
          <w:numId w:val="1044"/>
        </w:numPr>
      </w:pPr>
      <w:r>
        <w:rPr>
          <w:b/>
          <w:bCs/>
        </w:rPr>
        <w:t xml:space="preserve">Purview sensitivity label application</w:t>
      </w:r>
      <w:r>
        <w:t xml:space="preserve"> </w:t>
      </w:r>
      <w:r>
        <w:t xml:space="preserve">— when to apply which label,</w:t>
      </w:r>
      <w:r>
        <w:t xml:space="preserve"> </w:t>
      </w:r>
      <w:r>
        <w:t xml:space="preserve">how auto-labeling works, and what happens when a document is shared</w:t>
      </w:r>
    </w:p>
    <w:p>
      <w:pPr>
        <w:pStyle w:val="Compact"/>
        <w:numPr>
          <w:ilvl w:val="0"/>
          <w:numId w:val="1044"/>
        </w:numPr>
      </w:pPr>
      <w:r>
        <w:rPr>
          <w:b/>
          <w:bCs/>
        </w:rPr>
        <w:t xml:space="preserve">DLP policy understanding</w:t>
      </w:r>
      <w:r>
        <w:t xml:space="preserve"> </w:t>
      </w:r>
      <w:r>
        <w:t xml:space="preserve">— what the DLP policies in Vol III Book 05 block</w:t>
      </w:r>
      <w:r>
        <w:t xml:space="preserve"> </w:t>
      </w:r>
      <w:r>
        <w:t xml:space="preserve">and why, so data stewards don’t attempt workarounds</w:t>
      </w:r>
    </w:p>
    <w:p>
      <w:pPr>
        <w:pStyle w:val="Compact"/>
        <w:numPr>
          <w:ilvl w:val="0"/>
          <w:numId w:val="1044"/>
        </w:numPr>
      </w:pPr>
      <w:r>
        <w:rPr>
          <w:b/>
          <w:bCs/>
        </w:rPr>
        <w:t xml:space="preserve">SORN and PIA obligations</w:t>
      </w:r>
      <w:r>
        <w:t xml:space="preserve"> </w:t>
      </w:r>
      <w:r>
        <w:t xml:space="preserve">— what triggers a Privacy Impact Assessment,</w:t>
      </w:r>
      <w:r>
        <w:t xml:space="preserve"> </w:t>
      </w:r>
      <w:r>
        <w:t xml:space="preserve">how to initiate one, and the role of the System of Records Notice</w:t>
      </w:r>
    </w:p>
    <w:p>
      <w:pPr>
        <w:pStyle w:val="Compact"/>
        <w:numPr>
          <w:ilvl w:val="0"/>
          <w:numId w:val="1044"/>
        </w:numPr>
      </w:pPr>
      <w:r>
        <w:rPr>
          <w:b/>
          <w:bCs/>
        </w:rPr>
        <w:t xml:space="preserve">Breach notification procedure</w:t>
      </w:r>
      <w:r>
        <w:t xml:space="preserve"> </w:t>
      </w:r>
      <w:r>
        <w:t xml:space="preserve">— what constitutes a PII breach, the</w:t>
      </w:r>
      <w:r>
        <w:t xml:space="preserve"> </w:t>
      </w:r>
      <w:r>
        <w:t xml:space="preserve">72-hour reporting window, and the SOC notification path</w:t>
      </w:r>
    </w:p>
    <w:p>
      <w:r>
        <w:pict>
          <v:rect style="width:0;height:1.5pt" o:hralign="center" o:hrstd="t" o:hr="t"/>
        </w:pict>
      </w:r>
    </w:p>
    <w:bookmarkEnd w:id="189"/>
    <w:bookmarkEnd w:id="190"/>
    <w:bookmarkStart w:id="193" w:name="dimension-3-secure-delivery-training"/>
    <w:p>
      <w:pPr>
        <w:pStyle w:val="Heading1"/>
      </w:pPr>
      <w:r>
        <w:t xml:space="preserve">Dimension 3 — Secure Delivery Training</w:t>
      </w:r>
    </w:p>
    <w:bookmarkStart w:id="191" w:name="X1c51bfe054b14667a58a313c7807b0592ee1b17"/>
    <w:p>
      <w:pPr>
        <w:pStyle w:val="Heading2"/>
      </w:pPr>
      <w:r>
        <w:t xml:space="preserve">Developer Security in the FedRAMP 20x Context</w:t>
      </w:r>
    </w:p>
    <w:p>
      <w:pPr>
        <w:pStyle w:val="FirstParagraph"/>
      </w:pPr>
      <w:r>
        <w:t xml:space="preserve">FedRAMP 20x KSI-PIY-RSD (</w:t>
      </w:r>
      <w:r>
        <w:t xml:space="preserve">“Reviewing Security in the SDLC”</w:t>
      </w:r>
      <w:r>
        <w:t xml:space="preserve">) — activated</w:t>
      </w:r>
      <w:r>
        <w:t xml:space="preserve"> </w:t>
      </w:r>
      <w:r>
        <w:t xml:space="preserve">by Vol IV Book 02’s SBOM pipeline and Vol III Book 02’s Defender VM integration — requires</w:t>
      </w:r>
      <w:r>
        <w:t xml:space="preserve"> </w:t>
      </w:r>
      <w:r>
        <w:t xml:space="preserve">that security is reviewed throughout the software delivery process. Training</w:t>
      </w:r>
      <w:r>
        <w:t xml:space="preserve"> </w:t>
      </w:r>
      <w:r>
        <w:t xml:space="preserve">is the human layer of that review: developers who understand what Syft</w:t>
      </w:r>
      <w:r>
        <w:t xml:space="preserve"> </w:t>
      </w:r>
      <w:r>
        <w:t xml:space="preserve">produces, what Grype flags, and what a VEX assertion means will engage with</w:t>
      </w:r>
      <w:r>
        <w:t xml:space="preserve"> </w:t>
      </w:r>
      <w:r>
        <w:t xml:space="preserve">the automated pipeline as partners rather than treating it as a compliance</w:t>
      </w:r>
      <w:r>
        <w:t xml:space="preserve"> </w:t>
      </w:r>
      <w:r>
        <w:t xml:space="preserve">hurdle.</w:t>
      </w:r>
    </w:p>
    <w:p>
      <w:pPr>
        <w:pStyle w:val="BodyText"/>
      </w:pPr>
      <w:r>
        <w:t xml:space="preserve">The secure delivery training program connects KSI-PIY-RSD evidence</w:t>
      </w:r>
      <w:r>
        <w:t xml:space="preserve"> </w:t>
      </w:r>
      <w:r>
        <w:t xml:space="preserve">(Vol IV Book 02) with the human competency layer (this document). Together they</w:t>
      </w:r>
      <w:r>
        <w:t xml:space="preserve"> </w:t>
      </w:r>
      <w:r>
        <w:t xml:space="preserve">satisfy the full CR26 intent: automated scanning provides the</w:t>
      </w:r>
      <w:r>
        <w:t xml:space="preserve"> </w:t>
      </w:r>
      <w:r>
        <w:t xml:space="preserve">machine-readable signal; trained developers make the triage decisions that</w:t>
      </w:r>
      <w:r>
        <w:t xml:space="preserve"> </w:t>
      </w:r>
      <w:r>
        <w:t xml:space="preserve">determine whether findings are remediated or suppressed with a justified</w:t>
      </w:r>
      <w:r>
        <w:t xml:space="preserve"> </w:t>
      </w:r>
      <w:r>
        <w:t xml:space="preserve">exploitability assertion.</w:t>
      </w:r>
    </w:p>
    <w:bookmarkEnd w:id="191"/>
    <w:bookmarkStart w:id="192" w:name="training-delivery-for-developers"/>
    <w:p>
      <w:pPr>
        <w:pStyle w:val="Heading2"/>
      </w:pPr>
      <w:r>
        <w:t xml:space="preserve">Training Delivery for Developers</w:t>
      </w:r>
    </w:p>
    <w:p>
      <w:pPr>
        <w:pStyle w:val="FirstParagraph"/>
      </w:pPr>
      <w:r>
        <w:t xml:space="preserve">Developer training must be practical, not lecture-based. Effective formats:</w:t>
      </w:r>
    </w:p>
    <w:p>
      <w:pPr>
        <w:pStyle w:val="TableCaption"/>
      </w:pPr>
      <w:r>
        <w:t xml:space="preserve">Secure Delivery Training Formats</w:t>
      </w:r>
    </w:p>
    <w:tbl>
      <w:tblPr>
        <w:tblStyle w:val="Table"/>
        <w:tblW w:type="pct" w:w="5000"/>
        <w:tblLayout w:type="fixed"/>
        <w:tblLook w:firstRow="1" w:lastRow="0" w:firstColumn="0" w:lastColumn="0" w:noHBand="0" w:noVBand="0" w:val="0020"/>
        <w:tblCaption w:val="Secure Delivery Training Formats"/>
      </w:tblPr>
      <w:tblGrid>
        <w:gridCol w:w="1760"/>
        <w:gridCol w:w="1980"/>
        <w:gridCol w:w="4180"/>
      </w:tblGrid>
      <w:tr>
        <w:trPr>
          <w:tblHeader w:val="on"/>
        </w:trPr>
        <w:tc>
          <w:tcPr/>
          <w:p>
            <w:pPr>
              <w:pStyle w:val="Compact"/>
            </w:pPr>
            <w:r>
              <w:t xml:space="preserve">Format</w:t>
            </w:r>
          </w:p>
        </w:tc>
        <w:tc>
          <w:tcPr/>
          <w:p>
            <w:pPr>
              <w:pStyle w:val="Compact"/>
            </w:pPr>
            <w:r>
              <w:t xml:space="preserve">Purpose</w:t>
            </w:r>
          </w:p>
        </w:tc>
        <w:tc>
          <w:tcPr/>
          <w:p>
            <w:pPr>
              <w:pStyle w:val="Compact"/>
            </w:pPr>
            <w:r>
              <w:t xml:space="preserve">Minimum Frequency</w:t>
            </w:r>
          </w:p>
        </w:tc>
      </w:tr>
      <w:tr>
        <w:tc>
          <w:tcPr/>
          <w:p>
            <w:pPr>
              <w:pStyle w:val="Compact"/>
            </w:pPr>
            <w:r>
              <w:rPr>
                <w:b/>
                <w:bCs/>
              </w:rPr>
              <w:t xml:space="preserve">Hands-on SBOM lab</w:t>
            </w:r>
          </w:p>
        </w:tc>
        <w:tc>
          <w:tcPr/>
          <w:p>
            <w:pPr>
              <w:pStyle w:val="Compact"/>
            </w:pPr>
            <w:r>
              <w:t xml:space="preserve">Generate a CycloneDX SBOM from a real repository; inspect the output</w:t>
            </w:r>
          </w:p>
        </w:tc>
        <w:tc>
          <w:tcPr/>
          <w:p>
            <w:pPr>
              <w:pStyle w:val="Compact"/>
            </w:pPr>
            <w:r>
              <w:t xml:space="preserve">Annual</w:t>
            </w:r>
          </w:p>
        </w:tc>
      </w:tr>
      <w:tr>
        <w:tc>
          <w:tcPr/>
          <w:p>
            <w:pPr>
              <w:pStyle w:val="Compact"/>
            </w:pPr>
            <w:r>
              <w:rPr>
                <w:b/>
                <w:bCs/>
              </w:rPr>
              <w:t xml:space="preserve">Grype triage exercise</w:t>
            </w:r>
          </w:p>
        </w:tc>
        <w:tc>
          <w:tcPr/>
          <w:p>
            <w:pPr>
              <w:pStyle w:val="Compact"/>
            </w:pPr>
            <w:r>
              <w:t xml:space="preserve">Given a Grype scan result, classify findings and write VEX assertions</w:t>
            </w:r>
          </w:p>
        </w:tc>
        <w:tc>
          <w:tcPr/>
          <w:p>
            <w:pPr>
              <w:pStyle w:val="Compact"/>
            </w:pPr>
            <w:r>
              <w:t xml:space="preserve">Annual</w:t>
            </w:r>
          </w:p>
        </w:tc>
      </w:tr>
      <w:tr>
        <w:tc>
          <w:tcPr/>
          <w:p>
            <w:pPr>
              <w:pStyle w:val="Compact"/>
            </w:pPr>
            <w:r>
              <w:rPr>
                <w:b/>
                <w:bCs/>
              </w:rPr>
              <w:t xml:space="preserve">Secure code review session</w:t>
            </w:r>
          </w:p>
        </w:tc>
        <w:tc>
          <w:tcPr/>
          <w:p>
            <w:pPr>
              <w:pStyle w:val="Compact"/>
            </w:pPr>
            <w:r>
              <w:t xml:space="preserve">Pair review of a deliberately vulnerable PR; identify and remediate</w:t>
            </w:r>
          </w:p>
        </w:tc>
        <w:tc>
          <w:tcPr/>
          <w:p>
            <w:pPr>
              <w:pStyle w:val="Compact"/>
            </w:pPr>
            <w:r>
              <w:t xml:space="preserve">Quarterly</w:t>
            </w:r>
          </w:p>
        </w:tc>
      </w:tr>
      <w:tr>
        <w:tc>
          <w:tcPr/>
          <w:p>
            <w:pPr>
              <w:pStyle w:val="Compact"/>
            </w:pPr>
            <w:r>
              <w:rPr>
                <w:b/>
                <w:bCs/>
              </w:rPr>
              <w:t xml:space="preserve">Supply chain scenario tabletop</w:t>
            </w:r>
          </w:p>
        </w:tc>
        <w:tc>
          <w:tcPr/>
          <w:p>
            <w:pPr>
              <w:pStyle w:val="Compact"/>
            </w:pPr>
            <w:r>
              <w:t xml:space="preserve">What do we do if a critical dependency is compromised?</w:t>
            </w:r>
          </w:p>
        </w:tc>
        <w:tc>
          <w:tcPr/>
          <w:p>
            <w:pPr>
              <w:pStyle w:val="Compact"/>
            </w:pPr>
            <w:r>
              <w:t xml:space="preserve">Annual with IR tabletop</w:t>
            </w:r>
          </w:p>
        </w:tc>
      </w:tr>
      <w:tr>
        <w:tc>
          <w:tcPr/>
          <w:p>
            <w:pPr>
              <w:pStyle w:val="Compact"/>
            </w:pPr>
            <w:r>
              <w:rPr>
                <w:b/>
                <w:bCs/>
              </w:rPr>
              <w:t xml:space="preserve">CTF / security challenge</w:t>
            </w:r>
          </w:p>
        </w:tc>
        <w:tc>
          <w:tcPr/>
          <w:p>
            <w:pPr>
              <w:pStyle w:val="Compact"/>
            </w:pPr>
            <w:r>
              <w:t xml:space="preserve">Team-based challenge covering OWASP Top 10 patterns</w:t>
            </w:r>
          </w:p>
        </w:tc>
        <w:tc>
          <w:tcPr/>
          <w:p>
            <w:pPr>
              <w:pStyle w:val="Compact"/>
            </w:pPr>
            <w:r>
              <w:t xml:space="preserve">Annual (optional but high-value)</w:t>
            </w:r>
          </w:p>
        </w:tc>
      </w:tr>
    </w:tbl>
    <w:p>
      <w:r>
        <w:pict>
          <v:rect style="width:0;height:1.5pt" o:hralign="center" o:hrstd="t" o:hr="t"/>
        </w:pict>
      </w:r>
    </w:p>
    <w:bookmarkEnd w:id="192"/>
    <w:bookmarkEnd w:id="193"/>
    <w:bookmarkStart w:id="200" w:name="Xb499a88f9af76ab0e96ffbb4c6bf6f3548f3a95"/>
    <w:p>
      <w:pPr>
        <w:pStyle w:val="Heading1"/>
      </w:pPr>
      <w:r>
        <w:t xml:space="preserve">Dimension 4 — Incident Response and DR Training (IR-2, CP-3)</w:t>
      </w:r>
    </w:p>
    <w:bookmarkStart w:id="196" w:name="incident-response-training-ir-2"/>
    <w:p>
      <w:pPr>
        <w:pStyle w:val="Heading2"/>
      </w:pPr>
      <w:r>
        <w:t xml:space="preserve">Incident Response Training (IR-2)</w:t>
      </w:r>
    </w:p>
    <w:p>
      <w:pPr>
        <w:pStyle w:val="FirstParagraph"/>
      </w:pPr>
      <w:r>
        <w:t xml:space="preserve">IR-2 requires that personnel with incident response responsibilities</w:t>
      </w:r>
      <w:r>
        <w:t xml:space="preserve"> </w:t>
      </w:r>
      <w:r>
        <w:t xml:space="preserve">receive training on their specific roles in the IR plan. This training</w:t>
      </w:r>
      <w:r>
        <w:t xml:space="preserve"> </w:t>
      </w:r>
      <w:r>
        <w:t xml:space="preserve">connects directly to Vol III Book 06 (SIEM/XDR Detection Engineering) — the</w:t>
      </w:r>
      <w:r>
        <w:t xml:space="preserve"> </w:t>
      </w:r>
      <w:r>
        <w:t xml:space="preserve">Sentinel playbooks defined there are the operational tools; this training</w:t>
      </w:r>
      <w:r>
        <w:t xml:space="preserve"> </w:t>
      </w:r>
      <w:r>
        <w:t xml:space="preserve">is what ensures personnel can operate them under pressure.</w:t>
      </w:r>
    </w:p>
    <w:bookmarkStart w:id="194" w:name="ir-training-cadence"/>
    <w:p>
      <w:pPr>
        <w:pStyle w:val="Heading3"/>
      </w:pPr>
      <w:r>
        <w:t xml:space="preserve">IR Training Cadence</w:t>
      </w:r>
    </w:p>
    <w:p>
      <w:pPr>
        <w:pStyle w:val="TableCaption"/>
      </w:pPr>
      <w:r>
        <w:t xml:space="preserve">IR-2 Training Cadence</w:t>
      </w:r>
    </w:p>
    <w:tbl>
      <w:tblPr>
        <w:tblStyle w:val="Table"/>
        <w:tblW w:type="pct" w:w="5000"/>
        <w:tblLayout w:type="fixed"/>
        <w:tblLook w:firstRow="1" w:lastRow="0" w:firstColumn="0" w:lastColumn="0" w:noHBand="0" w:noVBand="0" w:val="0020"/>
        <w:tblCaption w:val="IR-2 Training Cadence"/>
      </w:tblPr>
      <w:tblGrid>
        <w:gridCol w:w="1205"/>
        <w:gridCol w:w="1893"/>
        <w:gridCol w:w="2238"/>
        <w:gridCol w:w="2582"/>
      </w:tblGrid>
      <w:tr>
        <w:trPr>
          <w:tblHeader w:val="on"/>
        </w:trPr>
        <w:tc>
          <w:tcPr/>
          <w:p>
            <w:pPr>
              <w:pStyle w:val="Compact"/>
            </w:pPr>
            <w:r>
              <w:t xml:space="preserve">Event</w:t>
            </w:r>
          </w:p>
        </w:tc>
        <w:tc>
          <w:tcPr/>
          <w:p>
            <w:pPr>
              <w:pStyle w:val="Compact"/>
            </w:pPr>
            <w:r>
              <w:t xml:space="preserve">Frequency</w:t>
            </w:r>
          </w:p>
        </w:tc>
        <w:tc>
          <w:tcPr/>
          <w:p>
            <w:pPr>
              <w:pStyle w:val="Compact"/>
            </w:pPr>
            <w:r>
              <w:t xml:space="preserve">Participants</w:t>
            </w:r>
          </w:p>
        </w:tc>
        <w:tc>
          <w:tcPr/>
          <w:p>
            <w:pPr>
              <w:pStyle w:val="Compact"/>
            </w:pPr>
            <w:r>
              <w:t xml:space="preserve">Documentation</w:t>
            </w:r>
          </w:p>
        </w:tc>
      </w:tr>
      <w:tr>
        <w:tc>
          <w:tcPr/>
          <w:p>
            <w:pPr>
              <w:pStyle w:val="Compact"/>
            </w:pPr>
            <w:r>
              <w:rPr>
                <w:b/>
                <w:bCs/>
              </w:rPr>
              <w:t xml:space="preserve">IR procedure walkthrough</w:t>
            </w:r>
          </w:p>
        </w:tc>
        <w:tc>
          <w:tcPr/>
          <w:p>
            <w:pPr>
              <w:pStyle w:val="Compact"/>
            </w:pPr>
            <w:r>
              <w:t xml:space="preserve">Semi-annual</w:t>
            </w:r>
          </w:p>
        </w:tc>
        <w:tc>
          <w:tcPr/>
          <w:p>
            <w:pPr>
              <w:pStyle w:val="Compact"/>
            </w:pPr>
            <w:r>
              <w:t xml:space="preserve">Full SOC + IR team</w:t>
            </w:r>
          </w:p>
        </w:tc>
        <w:tc>
          <w:tcPr/>
          <w:p>
            <w:pPr>
              <w:pStyle w:val="Compact"/>
            </w:pPr>
            <w:r>
              <w:t xml:space="preserve">Attendance record</w:t>
            </w:r>
          </w:p>
        </w:tc>
      </w:tr>
      <w:tr>
        <w:tc>
          <w:tcPr/>
          <w:p>
            <w:pPr>
              <w:pStyle w:val="Compact"/>
            </w:pPr>
            <w:r>
              <w:rPr>
                <w:b/>
                <w:bCs/>
              </w:rPr>
              <w:t xml:space="preserve">Sentinel playbook drill</w:t>
            </w:r>
          </w:p>
        </w:tc>
        <w:tc>
          <w:tcPr/>
          <w:p>
            <w:pPr>
              <w:pStyle w:val="Compact"/>
            </w:pPr>
            <w:r>
              <w:t xml:space="preserve">Quarterly</w:t>
            </w:r>
          </w:p>
        </w:tc>
        <w:tc>
          <w:tcPr/>
          <w:p>
            <w:pPr>
              <w:pStyle w:val="Compact"/>
            </w:pPr>
            <w:r>
              <w:t xml:space="preserve">SOC analysts</w:t>
            </w:r>
          </w:p>
        </w:tc>
        <w:tc>
          <w:tcPr/>
          <w:p>
            <w:pPr>
              <w:pStyle w:val="Compact"/>
            </w:pPr>
            <w:r>
              <w:t xml:space="preserve">Drill report</w:t>
            </w:r>
          </w:p>
        </w:tc>
      </w:tr>
      <w:tr>
        <w:tc>
          <w:tcPr/>
          <w:p>
            <w:pPr>
              <w:pStyle w:val="Compact"/>
            </w:pPr>
            <w:r>
              <w:rPr>
                <w:b/>
                <w:bCs/>
              </w:rPr>
              <w:t xml:space="preserve">Tabletop — ransomware scenario</w:t>
            </w:r>
          </w:p>
        </w:tc>
        <w:tc>
          <w:tcPr/>
          <w:p>
            <w:pPr>
              <w:pStyle w:val="Compact"/>
            </w:pPr>
            <w:r>
              <w:t xml:space="preserve">Annual</w:t>
            </w:r>
          </w:p>
        </w:tc>
        <w:tc>
          <w:tcPr/>
          <w:p>
            <w:pPr>
              <w:pStyle w:val="Compact"/>
            </w:pPr>
            <w:r>
              <w:t xml:space="preserve">IR team + leadership</w:t>
            </w:r>
          </w:p>
        </w:tc>
        <w:tc>
          <w:tcPr/>
          <w:p>
            <w:pPr>
              <w:pStyle w:val="Compact"/>
            </w:pPr>
            <w:r>
              <w:t xml:space="preserve">After-action report</w:t>
            </w:r>
          </w:p>
        </w:tc>
      </w:tr>
      <w:tr>
        <w:tc>
          <w:tcPr/>
          <w:p>
            <w:pPr>
              <w:pStyle w:val="Compact"/>
            </w:pPr>
            <w:r>
              <w:rPr>
                <w:b/>
                <w:bCs/>
              </w:rPr>
              <w:t xml:space="preserve">Tabletop — supply chain incident</w:t>
            </w:r>
          </w:p>
        </w:tc>
        <w:tc>
          <w:tcPr/>
          <w:p>
            <w:pPr>
              <w:pStyle w:val="Compact"/>
            </w:pPr>
            <w:r>
              <w:t xml:space="preserve">Annual</w:t>
            </w:r>
          </w:p>
        </w:tc>
        <w:tc>
          <w:tcPr/>
          <w:p>
            <w:pPr>
              <w:pStyle w:val="Compact"/>
            </w:pPr>
            <w:r>
              <w:t xml:space="preserve">IR + development + leadership</w:t>
            </w:r>
          </w:p>
        </w:tc>
        <w:tc>
          <w:tcPr/>
          <w:p>
            <w:pPr>
              <w:pStyle w:val="Compact"/>
            </w:pPr>
            <w:r>
              <w:t xml:space="preserve">After-action report</w:t>
            </w:r>
          </w:p>
        </w:tc>
      </w:tr>
      <w:tr>
        <w:tc>
          <w:tcPr/>
          <w:p>
            <w:pPr>
              <w:pStyle w:val="Compact"/>
            </w:pPr>
            <w:r>
              <w:rPr>
                <w:b/>
                <w:bCs/>
              </w:rPr>
              <w:t xml:space="preserve">Full simulation (red/blue)</w:t>
            </w:r>
          </w:p>
        </w:tc>
        <w:tc>
          <w:tcPr/>
          <w:p>
            <w:pPr>
              <w:pStyle w:val="Compact"/>
            </w:pPr>
            <w:r>
              <w:t xml:space="preserve">Annual (recommended)</w:t>
            </w:r>
          </w:p>
        </w:tc>
        <w:tc>
          <w:tcPr/>
          <w:p>
            <w:pPr>
              <w:pStyle w:val="Compact"/>
            </w:pPr>
            <w:r>
              <w:t xml:space="preserve">SOC + sysadmins</w:t>
            </w:r>
          </w:p>
        </w:tc>
        <w:tc>
          <w:tcPr/>
          <w:p>
            <w:pPr>
              <w:pStyle w:val="Compact"/>
            </w:pPr>
            <w:r>
              <w:t xml:space="preserve">Exercise report</w:t>
            </w:r>
          </w:p>
        </w:tc>
      </w:tr>
    </w:tbl>
    <w:bookmarkEnd w:id="194"/>
    <w:bookmarkStart w:id="195" w:name="ir-scenario-library"/>
    <w:p>
      <w:pPr>
        <w:pStyle w:val="Heading3"/>
      </w:pPr>
      <w:r>
        <w:t xml:space="preserve">IR Scenario Library</w:t>
      </w:r>
    </w:p>
    <w:p>
      <w:pPr>
        <w:pStyle w:val="FirstParagraph"/>
      </w:pPr>
      <w:r>
        <w:t xml:space="preserve">The SOC maintains a scenario library that is updated after each real incident</w:t>
      </w:r>
      <w:r>
        <w:t xml:space="preserve"> </w:t>
      </w:r>
      <w:r>
        <w:t xml:space="preserve">and after each after-action review. Minimum scenarios for GCC Moderate:</w:t>
      </w:r>
    </w:p>
    <w:p>
      <w:pPr>
        <w:pStyle w:val="Compact"/>
        <w:numPr>
          <w:ilvl w:val="0"/>
          <w:numId w:val="1045"/>
        </w:numPr>
      </w:pPr>
      <w:r>
        <w:rPr>
          <w:b/>
          <w:bCs/>
        </w:rPr>
        <w:t xml:space="preserve">Phishing → credential theft → lateral movement</w:t>
      </w:r>
      <w:r>
        <w:t xml:space="preserve"> </w:t>
      </w:r>
      <w:r>
        <w:t xml:space="preserve">— the most common</w:t>
      </w:r>
      <w:r>
        <w:t xml:space="preserve"> </w:t>
      </w:r>
      <w:r>
        <w:t xml:space="preserve">federal attack pattern; covers how Sentinel UEBA detects the anomaly and</w:t>
      </w:r>
      <w:r>
        <w:t xml:space="preserve"> </w:t>
      </w:r>
      <w:r>
        <w:t xml:space="preserve">which Logic App playbook fires</w:t>
      </w:r>
    </w:p>
    <w:p>
      <w:pPr>
        <w:pStyle w:val="Compact"/>
        <w:numPr>
          <w:ilvl w:val="0"/>
          <w:numId w:val="1045"/>
        </w:numPr>
      </w:pPr>
      <w:r>
        <w:rPr>
          <w:b/>
          <w:bCs/>
        </w:rPr>
        <w:t xml:space="preserve">Supply chain dependency compromise</w:t>
      </w:r>
      <w:r>
        <w:t xml:space="preserve"> </w:t>
      </w:r>
      <w:r>
        <w:t xml:space="preserve">— a critical npm/NuGet/PyPI package</w:t>
      </w:r>
      <w:r>
        <w:t xml:space="preserve"> </w:t>
      </w:r>
      <w:r>
        <w:t xml:space="preserve">is found malicious after deployment; what is the response chain from Grype</w:t>
      </w:r>
      <w:r>
        <w:t xml:space="preserve"> </w:t>
      </w:r>
      <w:r>
        <w:t xml:space="preserve">alert to containment</w:t>
      </w:r>
    </w:p>
    <w:p>
      <w:pPr>
        <w:pStyle w:val="Compact"/>
        <w:numPr>
          <w:ilvl w:val="0"/>
          <w:numId w:val="1045"/>
        </w:numPr>
      </w:pPr>
      <w:r>
        <w:rPr>
          <w:b/>
          <w:bCs/>
        </w:rPr>
        <w:t xml:space="preserve">Entra Conditional Access misconfiguration</w:t>
      </w:r>
      <w:r>
        <w:t xml:space="preserve"> </w:t>
      </w:r>
      <w:r>
        <w:t xml:space="preserve">— a policy change exposes</w:t>
      </w:r>
      <w:r>
        <w:t xml:space="preserve"> </w:t>
      </w:r>
      <w:r>
        <w:t xml:space="preserve">a gap; how is it detected in Sentinel and how is the access revoked</w:t>
      </w:r>
    </w:p>
    <w:p>
      <w:pPr>
        <w:pStyle w:val="Compact"/>
        <w:numPr>
          <w:ilvl w:val="0"/>
          <w:numId w:val="1045"/>
        </w:numPr>
      </w:pPr>
      <w:r>
        <w:rPr>
          <w:b/>
          <w:bCs/>
        </w:rPr>
        <w:t xml:space="preserve">InfoBlox RPZ bypass attempt</w:t>
      </w:r>
      <w:r>
        <w:t xml:space="preserve"> </w:t>
      </w:r>
      <w:r>
        <w:t xml:space="preserve">— DNS exfiltration pattern not covered by</w:t>
      </w:r>
      <w:r>
        <w:t xml:space="preserve"> </w:t>
      </w:r>
      <w:r>
        <w:t xml:space="preserve">current RPZ rules; detection via Sentinel CEF connector and response</w:t>
      </w:r>
    </w:p>
    <w:p>
      <w:pPr>
        <w:pStyle w:val="Compact"/>
        <w:numPr>
          <w:ilvl w:val="0"/>
          <w:numId w:val="1045"/>
        </w:numPr>
      </w:pPr>
      <w:r>
        <w:rPr>
          <w:b/>
          <w:bCs/>
        </w:rPr>
        <w:t xml:space="preserve">Ransomware encryption event</w:t>
      </w:r>
      <w:r>
        <w:t xml:space="preserve"> </w:t>
      </w:r>
      <w:r>
        <w:t xml:space="preserve">— endpoint detection via Defender MDE,</w:t>
      </w:r>
      <w:r>
        <w:t xml:space="preserve"> </w:t>
      </w:r>
      <w:r>
        <w:t xml:space="preserve">containment via Intune device action, recovery via Azure Site Recovery</w:t>
      </w:r>
      <w:r>
        <w:t xml:space="preserve"> </w:t>
      </w:r>
      <w:r>
        <w:t xml:space="preserve">failover to DR replica (Vol IV Book 01 procedure)</w:t>
      </w:r>
    </w:p>
    <w:bookmarkEnd w:id="195"/>
    <w:bookmarkEnd w:id="196"/>
    <w:bookmarkStart w:id="199" w:name="contingency-training-cp-3"/>
    <w:p>
      <w:pPr>
        <w:pStyle w:val="Heading2"/>
      </w:pPr>
      <w:r>
        <w:t xml:space="preserve">Contingency Training (CP-3)</w:t>
      </w:r>
    </w:p>
    <w:p>
      <w:pPr>
        <w:pStyle w:val="FirstParagraph"/>
      </w:pPr>
      <w:r>
        <w:t xml:space="preserve">CP-3 requires that contingency plan personnel are trained on their specific</w:t>
      </w:r>
      <w:r>
        <w:t xml:space="preserve"> </w:t>
      </w:r>
      <w:r>
        <w:t xml:space="preserve">roles and responsibilities. Vol IV Book 01 established the Contingency Plan,</w:t>
      </w:r>
      <w:r>
        <w:t xml:space="preserve"> </w:t>
      </w:r>
      <w:r>
        <w:t xml:space="preserve">RTO/RPO/MTD targets, and DR runbooks. This training ensures the people</w:t>
      </w:r>
      <w:r>
        <w:t xml:space="preserve"> </w:t>
      </w:r>
      <w:r>
        <w:t xml:space="preserve">named in those runbooks can execute them.</w:t>
      </w:r>
    </w:p>
    <w:bookmarkStart w:id="197" w:name="cp-3-tabletop-exercise-calendar"/>
    <w:p>
      <w:pPr>
        <w:pStyle w:val="Heading3"/>
      </w:pPr>
      <w:r>
        <w:t xml:space="preserve">CP-3 Tabletop Exercise Calendar</w:t>
      </w:r>
    </w:p>
    <w:p>
      <w:pPr>
        <w:pStyle w:val="FirstParagraph"/>
      </w:pPr>
      <w:r>
        <w:t xml:space="preserve">These four quarterly exercises test the CP-2 Contingency Plan established in</w:t>
      </w:r>
      <w:r>
        <w:t xml:space="preserve"> </w:t>
      </w:r>
      <w:r>
        <w:t xml:space="preserve">Vol IV Book 01. Q3 is the full CP-3 tabletop (contingency-role training);</w:t>
      </w:r>
      <w:r>
        <w:t xml:space="preserve"> </w:t>
      </w:r>
      <w:r>
        <w:t xml:space="preserve">Q1, Q2, and Q4 are functional failover tests that support CP-4 (Contingency</w:t>
      </w:r>
      <w:r>
        <w:t xml:space="preserve"> </w:t>
      </w:r>
      <w:r>
        <w:t xml:space="preserve">Plan Testing):</w:t>
      </w:r>
    </w:p>
    <w:p>
      <w:pPr>
        <w:pStyle w:val="TableCaption"/>
      </w:pPr>
      <w:r>
        <w:t xml:space="preserve">CP-3 / CP-4 Quarterly Exercise Calendar</w:t>
      </w:r>
    </w:p>
    <w:tbl>
      <w:tblPr>
        <w:tblStyle w:val="Table"/>
        <w:tblW w:type="pct" w:w="5000"/>
        <w:tblLayout w:type="fixed"/>
        <w:tblLook w:firstRow="1" w:lastRow="0" w:firstColumn="0" w:lastColumn="0" w:noHBand="0" w:noVBand="0" w:val="0020"/>
        <w:tblCaption w:val="CP-3 / CP-4 Quarterly Exercise Calendar"/>
      </w:tblPr>
      <w:tblGrid>
        <w:gridCol w:w="1549"/>
        <w:gridCol w:w="2754"/>
        <w:gridCol w:w="2238"/>
        <w:gridCol w:w="1377"/>
      </w:tblGrid>
      <w:tr>
        <w:trPr>
          <w:tblHeader w:val="on"/>
        </w:trPr>
        <w:tc>
          <w:tcPr/>
          <w:p>
            <w:pPr>
              <w:pStyle w:val="Compact"/>
            </w:pPr>
            <w:r>
              <w:t xml:space="preserve">Quarter</w:t>
            </w:r>
          </w:p>
        </w:tc>
        <w:tc>
          <w:tcPr/>
          <w:p>
            <w:pPr>
              <w:pStyle w:val="Compact"/>
            </w:pPr>
            <w:r>
              <w:t xml:space="preserve">Exercise Focus</w:t>
            </w:r>
          </w:p>
        </w:tc>
        <w:tc>
          <w:tcPr/>
          <w:p>
            <w:pPr>
              <w:pStyle w:val="Compact"/>
            </w:pPr>
            <w:r>
              <w:t xml:space="preserve">Participants</w:t>
            </w:r>
          </w:p>
        </w:tc>
        <w:tc>
          <w:tcPr/>
          <w:p>
            <w:pPr>
              <w:pStyle w:val="Compact"/>
            </w:pPr>
            <w:r>
              <w:t xml:space="preserve">Output</w:t>
            </w:r>
          </w:p>
        </w:tc>
      </w:tr>
      <w:tr>
        <w:tc>
          <w:tcPr/>
          <w:p>
            <w:pPr>
              <w:pStyle w:val="Compact"/>
            </w:pPr>
            <w:r>
              <w:rPr>
                <w:b/>
                <w:bCs/>
              </w:rPr>
              <w:t xml:space="preserve">Q1</w:t>
            </w:r>
          </w:p>
        </w:tc>
        <w:tc>
          <w:tcPr/>
          <w:p>
            <w:pPr>
              <w:pStyle w:val="Compact"/>
            </w:pPr>
            <w:r>
              <w:t xml:space="preserve">SQL AG failover to DR replica</w:t>
            </w:r>
          </w:p>
        </w:tc>
        <w:tc>
          <w:tcPr/>
          <w:p>
            <w:pPr>
              <w:pStyle w:val="Compact"/>
            </w:pPr>
            <w:r>
              <w:t xml:space="preserve">DBAs, sysadmins, SOC</w:t>
            </w:r>
          </w:p>
        </w:tc>
        <w:tc>
          <w:tcPr/>
          <w:p>
            <w:pPr>
              <w:pStyle w:val="Compact"/>
            </w:pPr>
            <w:r>
              <w:t xml:space="preserve">Failover time measurement vs. RTO target</w:t>
            </w:r>
          </w:p>
        </w:tc>
      </w:tr>
      <w:tr>
        <w:tc>
          <w:tcPr/>
          <w:p>
            <w:pPr>
              <w:pStyle w:val="Compact"/>
            </w:pPr>
            <w:r>
              <w:rPr>
                <w:b/>
                <w:bCs/>
              </w:rPr>
              <w:t xml:space="preserve">Q2</w:t>
            </w:r>
          </w:p>
        </w:tc>
        <w:tc>
          <w:tcPr/>
          <w:p>
            <w:pPr>
              <w:pStyle w:val="Compact"/>
            </w:pPr>
            <w:r>
              <w:t xml:space="preserve">InfoBlox Grid Manager failover</w:t>
            </w:r>
          </w:p>
        </w:tc>
        <w:tc>
          <w:tcPr/>
          <w:p>
            <w:pPr>
              <w:pStyle w:val="Compact"/>
            </w:pPr>
            <w:r>
              <w:t xml:space="preserve">Network engineers, DNS admins</w:t>
            </w:r>
          </w:p>
        </w:tc>
        <w:tc>
          <w:tcPr/>
          <w:p>
            <w:pPr>
              <w:pStyle w:val="Compact"/>
            </w:pPr>
            <w:r>
              <w:t xml:space="preserve">Recovery time vs. RTO; RPZ rule restoration check</w:t>
            </w:r>
          </w:p>
        </w:tc>
      </w:tr>
      <w:tr>
        <w:tc>
          <w:tcPr/>
          <w:p>
            <w:pPr>
              <w:pStyle w:val="Compact"/>
            </w:pPr>
            <w:r>
              <w:rPr>
                <w:b/>
                <w:bCs/>
              </w:rPr>
              <w:t xml:space="preserve">Q3</w:t>
            </w:r>
          </w:p>
        </w:tc>
        <w:tc>
          <w:tcPr/>
          <w:p>
            <w:pPr>
              <w:pStyle w:val="Compact"/>
            </w:pPr>
            <w:r>
              <w:t xml:space="preserve">Full CP-2 tabletop — multi-system outage</w:t>
            </w:r>
          </w:p>
        </w:tc>
        <w:tc>
          <w:tcPr/>
          <w:p>
            <w:pPr>
              <w:pStyle w:val="Compact"/>
            </w:pPr>
            <w:r>
              <w:t xml:space="preserve">All DR-designated personnel + leadership</w:t>
            </w:r>
          </w:p>
        </w:tc>
        <w:tc>
          <w:tcPr/>
          <w:p>
            <w:pPr>
              <w:pStyle w:val="Compact"/>
            </w:pPr>
            <w:r>
              <w:t xml:space="preserve">After-action report; plan updates</w:t>
            </w:r>
          </w:p>
        </w:tc>
      </w:tr>
      <w:tr>
        <w:tc>
          <w:tcPr/>
          <w:p>
            <w:pPr>
              <w:pStyle w:val="Compact"/>
            </w:pPr>
            <w:r>
              <w:rPr>
                <w:b/>
                <w:bCs/>
              </w:rPr>
              <w:t xml:space="preserve">Q4</w:t>
            </w:r>
          </w:p>
        </w:tc>
        <w:tc>
          <w:tcPr/>
          <w:p>
            <w:pPr>
              <w:pStyle w:val="Compact"/>
            </w:pPr>
            <w:r>
              <w:t xml:space="preserve">Entra ID + Azure AD DS recovery scenario</w:t>
            </w:r>
          </w:p>
        </w:tc>
        <w:tc>
          <w:tcPr/>
          <w:p>
            <w:pPr>
              <w:pStyle w:val="Compact"/>
            </w:pPr>
            <w:r>
              <w:t xml:space="preserve">Identity admins, sysadmins</w:t>
            </w:r>
          </w:p>
        </w:tc>
        <w:tc>
          <w:tcPr/>
          <w:p>
            <w:pPr>
              <w:pStyle w:val="Compact"/>
            </w:pPr>
            <w:r>
              <w:t xml:space="preserve">Token reissuance time; break-glass procedure validation</w:t>
            </w:r>
          </w:p>
        </w:tc>
      </w:tr>
    </w:tbl>
    <w:bookmarkEnd w:id="197"/>
    <w:bookmarkStart w:id="198" w:name="after-action-report-requirements"/>
    <w:p>
      <w:pPr>
        <w:pStyle w:val="Heading3"/>
      </w:pPr>
      <w:r>
        <w:t xml:space="preserve">After-Action Report Requirements</w:t>
      </w:r>
    </w:p>
    <w:p>
      <w:pPr>
        <w:pStyle w:val="FirstParagraph"/>
      </w:pPr>
      <w:r>
        <w:t xml:space="preserve">Every tabletop produces an after-action report that:</w:t>
      </w:r>
    </w:p>
    <w:p>
      <w:pPr>
        <w:pStyle w:val="Compact"/>
        <w:numPr>
          <w:ilvl w:val="0"/>
          <w:numId w:val="1046"/>
        </w:numPr>
      </w:pPr>
      <w:r>
        <w:t xml:space="preserve">Documents attendance (names, roles, date) — this is the CP-3 evidence record</w:t>
      </w:r>
    </w:p>
    <w:p>
      <w:pPr>
        <w:pStyle w:val="Compact"/>
        <w:numPr>
          <w:ilvl w:val="0"/>
          <w:numId w:val="1046"/>
        </w:numPr>
      </w:pPr>
      <w:r>
        <w:t xml:space="preserve">Records the scenario, injects, and timeline</w:t>
      </w:r>
    </w:p>
    <w:p>
      <w:pPr>
        <w:pStyle w:val="Compact"/>
        <w:numPr>
          <w:ilvl w:val="0"/>
          <w:numId w:val="1046"/>
        </w:numPr>
      </w:pPr>
      <w:r>
        <w:t xml:space="preserve">Identifies gaps found versus the CP-2 plan</w:t>
      </w:r>
    </w:p>
    <w:p>
      <w:pPr>
        <w:pStyle w:val="Compact"/>
        <w:numPr>
          <w:ilvl w:val="0"/>
          <w:numId w:val="1046"/>
        </w:numPr>
      </w:pPr>
      <w:r>
        <w:t xml:space="preserve">Assigns corrective actions with owners and due dates</w:t>
      </w:r>
    </w:p>
    <w:p>
      <w:pPr>
        <w:pStyle w:val="Compact"/>
        <w:numPr>
          <w:ilvl w:val="0"/>
          <w:numId w:val="1046"/>
        </w:numPr>
      </w:pPr>
      <w:r>
        <w:t xml:space="preserve">Is reviewed by the ISSO and archived in the governance record system</w:t>
      </w:r>
    </w:p>
    <w:p>
      <w:pPr>
        <w:pStyle w:val="FirstParagraph"/>
      </w:pPr>
      <w:r>
        <w:t xml:space="preserve">The after-action report feeds two things: the PM-14 T&amp;T&amp;M tracker</w:t>
      </w:r>
      <w:r>
        <w:t xml:space="preserve"> </w:t>
      </w:r>
      <w:r>
        <w:t xml:space="preserve">(Vol IV Book 03) and the CP-3 evidence record that the governance substrate ingests.</w:t>
      </w:r>
    </w:p>
    <w:p>
      <w:r>
        <w:pict>
          <v:rect style="width:0;height:1.5pt" o:hralign="center" o:hrstd="t" o:hr="t"/>
        </w:pict>
      </w:r>
    </w:p>
    <w:bookmarkEnd w:id="198"/>
    <w:bookmarkEnd w:id="199"/>
    <w:bookmarkEnd w:id="200"/>
    <w:bookmarkStart w:id="206" w:name="X5d2cfcf0b4e9a84389fb9586b6280caef5882bd"/>
    <w:p>
      <w:pPr>
        <w:pStyle w:val="Heading1"/>
      </w:pPr>
      <w:r>
        <w:t xml:space="preserve">Training Records and LMS Integration (AT-4)</w:t>
      </w:r>
    </w:p>
    <w:bookmarkStart w:id="201" w:name="X695eb96f7b67776b17ba54fe81d0539a7b1317b"/>
    <w:p>
      <w:pPr>
        <w:pStyle w:val="Heading2"/>
      </w:pPr>
      <w:r>
        <w:t xml:space="preserve">The Machine-Readable Evidence Requirement</w:t>
      </w:r>
    </w:p>
    <w:p>
      <w:pPr>
        <w:pStyle w:val="FirstParagraph"/>
      </w:pPr>
      <w:r>
        <w:t xml:space="preserve">AT-4 requires the organization to retain individual training records and</w:t>
      </w:r>
      <w:r>
        <w:t xml:space="preserve"> </w:t>
      </w:r>
      <w:r>
        <w:t xml:space="preserve">review them. For FedRAMP 20x KSI-CED-RAT,</w:t>
      </w:r>
      <w:r>
        <w:t xml:space="preserve"> </w:t>
      </w:r>
      <w:r>
        <w:t xml:space="preserve">“review”</w:t>
      </w:r>
      <w:r>
        <w:t xml:space="preserve"> </w:t>
      </w:r>
      <w:r>
        <w:t xml:space="preserve">must be persistent and</w:t>
      </w:r>
      <w:r>
        <w:t xml:space="preserve"> </w:t>
      </w:r>
      <w:r>
        <w:t xml:space="preserve">machine-readable — the governance substrate needs to query whether all</w:t>
      </w:r>
      <w:r>
        <w:t xml:space="preserve"> </w:t>
      </w:r>
      <w:r>
        <w:t xml:space="preserve">four training dimensions have been reviewed, for which populations, and</w:t>
      </w:r>
      <w:r>
        <w:t xml:space="preserve"> </w:t>
      </w:r>
      <w:r>
        <w:t xml:space="preserve">when.</w:t>
      </w:r>
    </w:p>
    <w:p>
      <w:pPr>
        <w:pStyle w:val="BodyText"/>
      </w:pPr>
      <w:r>
        <w:t xml:space="preserve">The evidence contract for KSI-022 specifies:</w:t>
      </w:r>
    </w:p>
    <w:p>
      <w:pPr>
        <w:pStyle w:val="SourceCode"/>
      </w:pPr>
      <w:r>
        <w:rPr>
          <w:rStyle w:val="VerbatimChar"/>
        </w:rPr>
        <w:t xml:space="preserve">Substrate_Signal: governance.training-effectiveness-record</w:t>
      </w:r>
      <w:r>
        <w:br/>
      </w:r>
      <w:r>
        <w:rPr>
          <w:rStyle w:val="VerbatimChar"/>
        </w:rPr>
        <w:t xml:space="preserve">Data_Type:        Document</w:t>
      </w:r>
      <w:r>
        <w:br/>
      </w:r>
      <w:r>
        <w:rPr>
          <w:rStyle w:val="VerbatimChar"/>
        </w:rPr>
        <w:t xml:space="preserve">Evidence:         LMS training completion record demonstrating all four</w:t>
      </w:r>
      <w:r>
        <w:br/>
      </w:r>
      <w:r>
        <w:rPr>
          <w:rStyle w:val="VerbatimChar"/>
        </w:rPr>
        <w:t xml:space="preserve">                  training dimensions are reviewed</w:t>
      </w:r>
    </w:p>
    <w:p>
      <w:pPr>
        <w:pStyle w:val="FirstParagraph"/>
      </w:pPr>
      <w:r>
        <w:t xml:space="preserve">This means the LMS must produce an exportable record that the governance engine can</w:t>
      </w:r>
      <w:r>
        <w:t xml:space="preserve"> </w:t>
      </w:r>
      <w:r>
        <w:t xml:space="preserve">ingest and query. The record must answer four questions:</w:t>
      </w:r>
    </w:p>
    <w:p>
      <w:pPr>
        <w:pStyle w:val="Compact"/>
        <w:numPr>
          <w:ilvl w:val="0"/>
          <w:numId w:val="1047"/>
        </w:numPr>
      </w:pPr>
      <w:r>
        <w:t xml:space="preserve">Did</w:t>
      </w:r>
      <w:r>
        <w:t xml:space="preserve"> </w:t>
      </w:r>
      <w:r>
        <w:rPr>
          <w:b/>
          <w:bCs/>
        </w:rPr>
        <w:t xml:space="preserve">all employees</w:t>
      </w:r>
      <w:r>
        <w:t xml:space="preserve"> </w:t>
      </w:r>
      <w:r>
        <w:t xml:space="preserve">complete annual security awareness training (AT-2)?</w:t>
      </w:r>
    </w:p>
    <w:p>
      <w:pPr>
        <w:pStyle w:val="Compact"/>
        <w:numPr>
          <w:ilvl w:val="0"/>
          <w:numId w:val="1047"/>
        </w:numPr>
      </w:pPr>
      <w:r>
        <w:t xml:space="preserve">Did</w:t>
      </w:r>
      <w:r>
        <w:t xml:space="preserve"> </w:t>
      </w:r>
      <w:r>
        <w:rPr>
          <w:b/>
          <w:bCs/>
        </w:rPr>
        <w:t xml:space="preserve">all role-designated personnel</w:t>
      </w:r>
      <w:r>
        <w:t xml:space="preserve"> </w:t>
      </w:r>
      <w:r>
        <w:t xml:space="preserve">complete their role-specific track (AT-3)?</w:t>
      </w:r>
    </w:p>
    <w:p>
      <w:pPr>
        <w:pStyle w:val="Compact"/>
        <w:numPr>
          <w:ilvl w:val="0"/>
          <w:numId w:val="1047"/>
        </w:numPr>
      </w:pPr>
      <w:r>
        <w:t xml:space="preserve">Did</w:t>
      </w:r>
      <w:r>
        <w:t xml:space="preserve"> </w:t>
      </w:r>
      <w:r>
        <w:rPr>
          <w:b/>
          <w:bCs/>
        </w:rPr>
        <w:t xml:space="preserve">all developers / engineers</w:t>
      </w:r>
      <w:r>
        <w:t xml:space="preserve"> </w:t>
      </w:r>
      <w:r>
        <w:t xml:space="preserve">complete secure delivery training (AT-3(3))?</w:t>
      </w:r>
    </w:p>
    <w:p>
      <w:pPr>
        <w:pStyle w:val="Compact"/>
        <w:numPr>
          <w:ilvl w:val="0"/>
          <w:numId w:val="1047"/>
        </w:numPr>
      </w:pPr>
      <w:r>
        <w:t xml:space="preserve">Did</w:t>
      </w:r>
      <w:r>
        <w:t xml:space="preserve"> </w:t>
      </w:r>
      <w:r>
        <w:rPr>
          <w:b/>
          <w:bCs/>
        </w:rPr>
        <w:t xml:space="preserve">all IR/DR personnel</w:t>
      </w:r>
      <w:r>
        <w:t xml:space="preserve"> </w:t>
      </w:r>
      <w:r>
        <w:t xml:space="preserve">attend the required drills and tabletops (IR-2, CP-3)?</w:t>
      </w:r>
    </w:p>
    <w:bookmarkEnd w:id="201"/>
    <w:bookmarkStart w:id="202" w:name="training-completion-record-schema"/>
    <w:p>
      <w:pPr>
        <w:pStyle w:val="Heading2"/>
      </w:pPr>
      <w:r>
        <w:t xml:space="preserve">Training Completion Record Schema</w:t>
      </w:r>
    </w:p>
    <w:p>
      <w:pPr>
        <w:pStyle w:val="FirstParagraph"/>
      </w:pPr>
      <w:r>
        <w:t xml:space="preserve">The training-effectiveness-record exported to the governance substrate follows</w:t>
      </w:r>
      <w:r>
        <w:t xml:space="preserve"> </w:t>
      </w:r>
      <w:r>
        <w:t xml:space="preserve">this schema:</w:t>
      </w:r>
    </w:p>
    <w:p>
      <w:pPr>
        <w:pStyle w:val="SourceCode"/>
      </w:pPr>
      <w:r>
        <w:rPr>
          <w:rStyle w:val="FunctionTok"/>
        </w:rPr>
        <w:t xml:space="preserve">{</w:t>
      </w:r>
      <w:r>
        <w:br/>
      </w:r>
      <w:r>
        <w:rPr>
          <w:rStyle w:val="NormalTok"/>
        </w:rPr>
        <w:t xml:space="preserve">  </w:t>
      </w:r>
      <w:r>
        <w:rPr>
          <w:rStyle w:val="DataTypeTok"/>
        </w:rPr>
        <w:t xml:space="preserve">"record_type"</w:t>
      </w:r>
      <w:r>
        <w:rPr>
          <w:rStyle w:val="FunctionTok"/>
        </w:rPr>
        <w:t xml:space="preserve">:</w:t>
      </w:r>
      <w:r>
        <w:rPr>
          <w:rStyle w:val="NormalTok"/>
        </w:rPr>
        <w:t xml:space="preserve"> </w:t>
      </w:r>
      <w:r>
        <w:rPr>
          <w:rStyle w:val="StringTok"/>
        </w:rPr>
        <w:t xml:space="preserve">"training-effectiveness-record"</w:t>
      </w:r>
      <w:r>
        <w:rPr>
          <w:rStyle w:val="FunctionTok"/>
        </w:rPr>
        <w:t xml:space="preserve">,</w:t>
      </w:r>
      <w:r>
        <w:br/>
      </w:r>
      <w:r>
        <w:rPr>
          <w:rStyle w:val="NormalTok"/>
        </w:rPr>
        <w:t xml:space="preserve">  </w:t>
      </w:r>
      <w:r>
        <w:rPr>
          <w:rStyle w:val="DataTypeTok"/>
        </w:rPr>
        <w:t xml:space="preserve">"snapshot_date"</w:t>
      </w:r>
      <w:r>
        <w:rPr>
          <w:rStyle w:val="FunctionTok"/>
        </w:rPr>
        <w:t xml:space="preserve">:</w:t>
      </w:r>
      <w:r>
        <w:rPr>
          <w:rStyle w:val="NormalTok"/>
        </w:rPr>
        <w:t xml:space="preserve"> </w:t>
      </w:r>
      <w:r>
        <w:rPr>
          <w:rStyle w:val="StringTok"/>
        </w:rPr>
        <w:t xml:space="preserve">"2026-10-01"</w:t>
      </w:r>
      <w:r>
        <w:rPr>
          <w:rStyle w:val="FunctionTok"/>
        </w:rPr>
        <w:t xml:space="preserve">,</w:t>
      </w:r>
      <w:r>
        <w:br/>
      </w:r>
      <w:r>
        <w:rPr>
          <w:rStyle w:val="NormalTok"/>
        </w:rPr>
        <w:t xml:space="preserve">  </w:t>
      </w:r>
      <w:r>
        <w:rPr>
          <w:rStyle w:val="DataTypeTok"/>
        </w:rPr>
        <w:t xml:space="preserve">"generated_by"</w:t>
      </w:r>
      <w:r>
        <w:rPr>
          <w:rStyle w:val="FunctionTok"/>
        </w:rPr>
        <w:t xml:space="preserve">:</w:t>
      </w:r>
      <w:r>
        <w:rPr>
          <w:rStyle w:val="NormalTok"/>
        </w:rPr>
        <w:t xml:space="preserve"> </w:t>
      </w:r>
      <w:r>
        <w:rPr>
          <w:rStyle w:val="StringTok"/>
        </w:rPr>
        <w:t xml:space="preserve">"Microsoft Viva Learning Graph API export"</w:t>
      </w:r>
      <w:r>
        <w:rPr>
          <w:rStyle w:val="FunctionTok"/>
        </w:rPr>
        <w:t xml:space="preserve">,</w:t>
      </w:r>
      <w:r>
        <w:br/>
      </w:r>
      <w:r>
        <w:rPr>
          <w:rStyle w:val="NormalTok"/>
        </w:rPr>
        <w:t xml:space="preserve">  </w:t>
      </w:r>
      <w:r>
        <w:rPr>
          <w:rStyle w:val="DataTypeTok"/>
        </w:rPr>
        <w:t xml:space="preserve">"overall_completion_pct"</w:t>
      </w:r>
      <w:r>
        <w:rPr>
          <w:rStyle w:val="FunctionTok"/>
        </w:rPr>
        <w:t xml:space="preserve">:</w:t>
      </w:r>
      <w:r>
        <w:rPr>
          <w:rStyle w:val="NormalTok"/>
        </w:rPr>
        <w:t xml:space="preserve"> </w:t>
      </w:r>
      <w:r>
        <w:rPr>
          <w:rStyle w:val="FloatTok"/>
        </w:rPr>
        <w:t xml:space="preserve">98.3</w:t>
      </w:r>
      <w:r>
        <w:rPr>
          <w:rStyle w:val="FunctionTok"/>
        </w:rPr>
        <w:t xml:space="preserve">,</w:t>
      </w:r>
      <w:r>
        <w:br/>
      </w:r>
      <w:r>
        <w:rPr>
          <w:rStyle w:val="NormalTok"/>
        </w:rPr>
        <w:t xml:space="preserve">  </w:t>
      </w:r>
      <w:r>
        <w:rPr>
          <w:rStyle w:val="DataTypeTok"/>
        </w:rPr>
        <w:t xml:space="preserve">"cp3_tabletop_date"</w:t>
      </w:r>
      <w:r>
        <w:rPr>
          <w:rStyle w:val="FunctionTok"/>
        </w:rPr>
        <w:t xml:space="preserve">:</w:t>
      </w:r>
      <w:r>
        <w:rPr>
          <w:rStyle w:val="NormalTok"/>
        </w:rPr>
        <w:t xml:space="preserve"> </w:t>
      </w:r>
      <w:r>
        <w:rPr>
          <w:rStyle w:val="StringTok"/>
        </w:rPr>
        <w:t xml:space="preserve">"2026-08-14"</w:t>
      </w:r>
      <w:r>
        <w:rPr>
          <w:rStyle w:val="FunctionTok"/>
        </w:rPr>
        <w:t xml:space="preserve">,</w:t>
      </w:r>
      <w:r>
        <w:br/>
      </w:r>
      <w:r>
        <w:rPr>
          <w:rStyle w:val="NormalTok"/>
        </w:rPr>
        <w:t xml:space="preserve">  </w:t>
      </w:r>
      <w:r>
        <w:rPr>
          <w:rStyle w:val="DataTypeTok"/>
        </w:rPr>
        <w:t xml:space="preserve">"ir2_drill_date"</w:t>
      </w:r>
      <w:r>
        <w:rPr>
          <w:rStyle w:val="FunctionTok"/>
        </w:rPr>
        <w:t xml:space="preserve">:</w:t>
      </w:r>
      <w:r>
        <w:rPr>
          <w:rStyle w:val="NormalTok"/>
        </w:rPr>
        <w:t xml:space="preserve"> </w:t>
      </w:r>
      <w:r>
        <w:rPr>
          <w:rStyle w:val="StringTok"/>
        </w:rPr>
        <w:t xml:space="preserve">"2026-09-09"</w:t>
      </w:r>
      <w:r>
        <w:rPr>
          <w:rStyle w:val="FunctionTok"/>
        </w:rPr>
        <w:t xml:space="preserve">,</w:t>
      </w:r>
      <w:r>
        <w:br/>
      </w:r>
      <w:r>
        <w:rPr>
          <w:rStyle w:val="NormalTok"/>
        </w:rPr>
        <w:t xml:space="preserve">  </w:t>
      </w:r>
      <w:r>
        <w:rPr>
          <w:rStyle w:val="DataTypeTok"/>
        </w:rPr>
        <w:t xml:space="preserve">"role_tiers"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"sysadmins"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100.0</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"2026-09-20"</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StringTok"/>
        </w:rPr>
        <w:t xml:space="preserve">"AT-3(3)"</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"privileged_access"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96.4</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"2026-09-22"</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StringTok"/>
        </w:rPr>
        <w:t xml:space="preserve">"AT-3(5)"</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"developers"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97.8</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"2026-09-18"</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StringTok"/>
        </w:rPr>
        <w:t xml:space="preserve">"AT-3(3)"</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"ir_responders"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100.0</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"2026-09-09"</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"IR-2"</w:t>
      </w:r>
      <w:r>
        <w:rPr>
          <w:rStyle w:val="OtherTok"/>
        </w:rPr>
        <w:t xml:space="preserve">,</w:t>
      </w:r>
      <w:r>
        <w:rPr>
          <w:rStyle w:val="NormalTok"/>
        </w:rPr>
        <w:t xml:space="preserve"> </w:t>
      </w:r>
      <w:r>
        <w:rPr>
          <w:rStyle w:val="StringTok"/>
        </w:rPr>
        <w:t xml:space="preserve">"CP-3"</w:t>
      </w:r>
      <w:r>
        <w:rPr>
          <w:rStyle w:val="OtherTok"/>
        </w:rPr>
        <w:t xml:space="preserve">]</w:t>
      </w:r>
      <w:r>
        <w:rPr>
          <w:rStyle w:val="FunctionTok"/>
        </w:rPr>
        <w:t xml:space="preserve">,</w:t>
      </w:r>
      <w:r>
        <w:rPr>
          <w:rStyle w:val="NormalTok"/>
        </w:rPr>
        <w:t xml:space="preserve"> </w:t>
      </w:r>
      <w:r>
        <w:rPr>
          <w:rStyle w:val="DataTypeTok"/>
        </w:rPr>
        <w:t xml:space="preserve">"ir2_drill_date"</w:t>
      </w:r>
      <w:r>
        <w:rPr>
          <w:rStyle w:val="FunctionTok"/>
        </w:rPr>
        <w:t xml:space="preserve">:</w:t>
      </w:r>
      <w:r>
        <w:rPr>
          <w:rStyle w:val="NormalTok"/>
        </w:rPr>
        <w:t xml:space="preserve"> </w:t>
      </w:r>
      <w:r>
        <w:rPr>
          <w:rStyle w:val="StringTok"/>
        </w:rPr>
        <w:t xml:space="preserve">"2026-09-09"</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"data_stewards"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96.8</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"2026-09-25"</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"AT-3"</w:t>
      </w:r>
      <w:r>
        <w:rPr>
          <w:rStyle w:val="OtherTok"/>
        </w:rPr>
        <w:t xml:space="preserv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"tier_name"</w:t>
      </w:r>
      <w:r>
        <w:rPr>
          <w:rStyle w:val="FunctionTok"/>
        </w:rPr>
        <w:t xml:space="preserve">:</w:t>
      </w:r>
      <w:r>
        <w:rPr>
          <w:rStyle w:val="NormalTok"/>
        </w:rPr>
        <w:t xml:space="preserve"> </w:t>
      </w:r>
      <w:r>
        <w:rPr>
          <w:rStyle w:val="StringTok"/>
        </w:rPr>
        <w:t xml:space="preserve">"executives"</w:t>
      </w:r>
      <w:r>
        <w:rPr>
          <w:rStyle w:val="FunctionTok"/>
        </w:rPr>
        <w:t xml:space="preserve">,</w:t>
      </w:r>
      <w:r>
        <w:rPr>
          <w:rStyle w:val="NormalTok"/>
        </w:rPr>
        <w:t xml:space="preserve">        </w:t>
      </w:r>
      <w:r>
        <w:rPr>
          <w:rStyle w:val="DataTypeTok"/>
        </w:rPr>
        <w:t xml:space="preserve">"tier_completion_pct"</w:t>
      </w:r>
      <w:r>
        <w:rPr>
          <w:rStyle w:val="FunctionTok"/>
        </w:rPr>
        <w:t xml:space="preserve">:</w:t>
      </w:r>
      <w:r>
        <w:rPr>
          <w:rStyle w:val="NormalTok"/>
        </w:rPr>
        <w:t xml:space="preserve"> </w:t>
      </w:r>
      <w:r>
        <w:rPr>
          <w:rStyle w:val="FloatTok"/>
        </w:rPr>
        <w:t xml:space="preserve">100.0</w:t>
      </w:r>
      <w:r>
        <w:rPr>
          <w:rStyle w:val="FunctionTok"/>
        </w:rPr>
        <w:t xml:space="preserve">,</w:t>
      </w:r>
      <w:r>
        <w:rPr>
          <w:rStyle w:val="NormalTok"/>
        </w:rPr>
        <w:t xml:space="preserve"> </w:t>
      </w:r>
      <w:r>
        <w:rPr>
          <w:rStyle w:val="DataTypeTok"/>
        </w:rPr>
        <w:t xml:space="preserve">"last_completion_date"</w:t>
      </w:r>
      <w:r>
        <w:rPr>
          <w:rStyle w:val="FunctionTok"/>
        </w:rPr>
        <w:t xml:space="preserve">:</w:t>
      </w:r>
      <w:r>
        <w:rPr>
          <w:rStyle w:val="NormalTok"/>
        </w:rPr>
        <w:t xml:space="preserve"> </w:t>
      </w:r>
      <w:r>
        <w:rPr>
          <w:rStyle w:val="StringTok"/>
        </w:rPr>
        <w:t xml:space="preserve">"2026-09-15"</w:t>
      </w:r>
      <w:r>
        <w:rPr>
          <w:rStyle w:val="FunctionTok"/>
        </w:rPr>
        <w:t xml:space="preserve">,</w:t>
      </w:r>
      <w:r>
        <w:rPr>
          <w:rStyle w:val="NormalTok"/>
        </w:rPr>
        <w:t xml:space="preserve"> </w:t>
      </w:r>
      <w:r>
        <w:rPr>
          <w:rStyle w:val="DataTypeTok"/>
        </w:rPr>
        <w:t xml:space="preserve">"nist_controls"</w:t>
      </w:r>
      <w:r>
        <w:rPr>
          <w:rStyle w:val="FunctionTok"/>
        </w:rPr>
        <w:t xml:space="preserve">:</w:t>
      </w:r>
      <w:r>
        <w:rPr>
          <w:rStyle w:val="NormalTok"/>
        </w:rPr>
        <w:t xml:space="preserve"> </w:t>
      </w:r>
      <w:r>
        <w:rPr>
          <w:rStyle w:val="OtherTok"/>
        </w:rPr>
        <w:t xml:space="preserve">[</w:t>
      </w:r>
      <w:r>
        <w:rPr>
          <w:rStyle w:val="StringTok"/>
        </w:rPr>
        <w:t xml:space="preserve">"AT-2"</w:t>
      </w:r>
      <w:r>
        <w:rPr>
          <w:rStyle w:val="OtherTok"/>
        </w:rPr>
        <w:t xml:space="preserve">,</w:t>
      </w:r>
      <w:r>
        <w:rPr>
          <w:rStyle w:val="NormalTok"/>
        </w:rPr>
        <w:t xml:space="preserve"> </w:t>
      </w:r>
      <w:r>
        <w:rPr>
          <w:rStyle w:val="StringTok"/>
        </w:rPr>
        <w:t xml:space="preserve">"AT-3"</w:t>
      </w:r>
      <w:r>
        <w:rPr>
          <w:rStyle w:val="OtherTok"/>
        </w:rPr>
        <w:t xml:space="preserve">]</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"ksi_ced_rat_status"</w:t>
      </w:r>
      <w:r>
        <w:rPr>
          <w:rStyle w:val="FunctionTok"/>
        </w:rPr>
        <w:t xml:space="preserve">:</w:t>
      </w:r>
      <w:r>
        <w:rPr>
          <w:rStyle w:val="NormalTok"/>
        </w:rPr>
        <w:t xml:space="preserve"> </w:t>
      </w:r>
      <w:r>
        <w:rPr>
          <w:rStyle w:val="StringTok"/>
        </w:rPr>
        <w:t xml:space="preserve">"PASS"</w:t>
      </w:r>
      <w:r>
        <w:rPr>
          <w:rStyle w:val="FunctionTok"/>
        </w:rPr>
        <w:t xml:space="preserve">,</w:t>
      </w:r>
      <w:r>
        <w:br/>
      </w:r>
      <w:r>
        <w:rPr>
          <w:rStyle w:val="NormalTok"/>
        </w:rPr>
        <w:t xml:space="preserve">  </w:t>
      </w:r>
      <w:r>
        <w:rPr>
          <w:rStyle w:val="DataTypeTok"/>
        </w:rPr>
        <w:t xml:space="preserve">"attestation"</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"isso_name"</w:t>
      </w:r>
      <w:r>
        <w:rPr>
          <w:rStyle w:val="FunctionTok"/>
        </w:rPr>
        <w:t xml:space="preserve">:</w:t>
      </w:r>
      <w:r>
        <w:rPr>
          <w:rStyle w:val="NormalTok"/>
        </w:rPr>
        <w:t xml:space="preserve"> </w:t>
      </w:r>
      <w:r>
        <w:rPr>
          <w:rStyle w:val="StringTok"/>
        </w:rPr>
        <w:t xml:space="preserve">"[ISSO Name]"</w:t>
      </w:r>
      <w:r>
        <w:rPr>
          <w:rStyle w:val="FunctionTok"/>
        </w:rPr>
        <w:t xml:space="preserve">,</w:t>
      </w:r>
      <w:r>
        <w:br/>
      </w:r>
      <w:r>
        <w:rPr>
          <w:rStyle w:val="NormalTok"/>
        </w:rPr>
        <w:t xml:space="preserve">    </w:t>
      </w:r>
      <w:r>
        <w:rPr>
          <w:rStyle w:val="DataTypeTok"/>
        </w:rPr>
        <w:t xml:space="preserve">"review_date"</w:t>
      </w:r>
      <w:r>
        <w:rPr>
          <w:rStyle w:val="FunctionTok"/>
        </w:rPr>
        <w:t xml:space="preserve">:</w:t>
      </w:r>
      <w:r>
        <w:rPr>
          <w:rStyle w:val="NormalTok"/>
        </w:rPr>
        <w:t xml:space="preserve"> </w:t>
      </w:r>
      <w:r>
        <w:rPr>
          <w:rStyle w:val="StringTok"/>
        </w:rPr>
        <w:t xml:space="preserve">"2026-10-01"</w:t>
      </w:r>
      <w:r>
        <w:rPr>
          <w:rStyle w:val="FunctionTok"/>
        </w:rPr>
        <w:t xml:space="preserve">,</w:t>
      </w:r>
      <w:r>
        <w:br/>
      </w:r>
      <w:r>
        <w:rPr>
          <w:rStyle w:val="NormalTok"/>
        </w:rPr>
        <w:t xml:space="preserve">    </w:t>
      </w:r>
      <w:r>
        <w:rPr>
          <w:rStyle w:val="DataTypeTok"/>
        </w:rPr>
        <w:t xml:space="preserve">"next_review"</w:t>
      </w:r>
      <w:r>
        <w:rPr>
          <w:rStyle w:val="FunctionTok"/>
        </w:rPr>
        <w:t xml:space="preserve">:</w:t>
      </w:r>
      <w:r>
        <w:rPr>
          <w:rStyle w:val="NormalTok"/>
        </w:rPr>
        <w:t xml:space="preserve"> </w:t>
      </w:r>
      <w:r>
        <w:rPr>
          <w:rStyle w:val="StringTok"/>
        </w:rPr>
        <w:t xml:space="preserve">"2027-01-01"</w:t>
      </w:r>
      <w:r>
        <w:br/>
      </w:r>
      <w:r>
        <w:rPr>
          <w:rStyle w:val="NormalTok"/>
        </w:rPr>
        <w:t xml:space="preserve">  </w:t>
      </w:r>
      <w:r>
        <w:rPr>
          <w:rStyle w:val="FunctionTok"/>
        </w:rPr>
        <w:t xml:space="preserve">}</w:t>
      </w:r>
      <w:r>
        <w:br/>
      </w:r>
      <w:r>
        <w:rPr>
          <w:rStyle w:val="FunctionTok"/>
        </w:rPr>
        <w:t xml:space="preserve">}</w:t>
      </w:r>
    </w:p>
    <w:bookmarkEnd w:id="202"/>
    <w:bookmarkStart w:id="205" w:name="microsoft-viva-learning-integration"/>
    <w:p>
      <w:pPr>
        <w:pStyle w:val="Heading2"/>
      </w:pPr>
      <w:r>
        <w:t xml:space="preserve">Microsoft Viva Learning Integration</w:t>
      </w:r>
    </w:p>
    <w:p>
      <w:pPr>
        <w:pStyle w:val="FirstParagraph"/>
      </w:pPr>
      <w:r>
        <w:t xml:space="preserve">For organizations on Microsoft 365 GCC E3 or E5, Viva Learning is the</w:t>
      </w:r>
      <w:r>
        <w:t xml:space="preserve"> </w:t>
      </w:r>
      <w:r>
        <w:t xml:space="preserve">recommended LMS platform because its completion data is accessible via the</w:t>
      </w:r>
      <w:r>
        <w:t xml:space="preserve"> </w:t>
      </w:r>
      <w:r>
        <w:t xml:space="preserve">Microsoft Graph API without additional integration effort:</w:t>
      </w:r>
    </w:p>
    <w:bookmarkStart w:id="203" w:name="graph-api-query-for-at-4-evidence"/>
    <w:p>
      <w:pPr>
        <w:pStyle w:val="Heading3"/>
      </w:pPr>
      <w:r>
        <w:t xml:space="preserve">Graph API Query for AT-4 Evidence</w:t>
      </w:r>
    </w:p>
    <w:p>
      <w:pPr>
        <w:pStyle w:val="SourceCode"/>
      </w:pPr>
      <w:r>
        <w:rPr>
          <w:rStyle w:val="CommentTok"/>
        </w:rPr>
        <w:t xml:space="preserve"># Get training completion records for AT-4 evidence export</w:t>
      </w:r>
      <w:r>
        <w:br/>
      </w:r>
      <w:r>
        <w:rPr>
          <w:rStyle w:val="CommentTok"/>
        </w:rPr>
        <w:t xml:space="preserve"># Requires: LearningAssignmentReport.Read.All permission</w:t>
      </w:r>
      <w:r>
        <w:br/>
      </w:r>
      <w:r>
        <w:br/>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Authorization </w:t>
      </w:r>
      <w:r>
        <w:rPr>
          <w:rStyle w:val="OperatorTok"/>
        </w:rPr>
        <w:t xml:space="preserve">=</w:t>
      </w:r>
      <w:r>
        <w:rPr>
          <w:rStyle w:val="NormalTok"/>
        </w:rPr>
        <w:t xml:space="preserve"> </w:t>
      </w:r>
      <w:r>
        <w:rPr>
          <w:rStyle w:val="StringTok"/>
        </w:rPr>
        <w:t xml:space="preserve">"Bearer </w:t>
      </w:r>
      <w:r>
        <w:rPr>
          <w:rStyle w:val="VariableTok"/>
        </w:rPr>
        <w:t xml:space="preserve">$accessToken</w:t>
      </w:r>
      <w:r>
        <w:rPr>
          <w:rStyle w:val="StringTok"/>
        </w:rPr>
        <w:t xml:space="preserve">"</w:t>
      </w:r>
      <w:r>
        <w:br/>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br/>
      </w:r>
      <w:r>
        <w:rPr>
          <w:rStyle w:val="OperatorTok"/>
        </w:rPr>
        <w:t xml:space="preserve">}</w:t>
      </w:r>
      <w:r>
        <w:br/>
      </w:r>
      <w:r>
        <w:br/>
      </w:r>
      <w:r>
        <w:rPr>
          <w:rStyle w:val="CommentTok"/>
        </w:rPr>
        <w:t xml:space="preserve"># Query all learning assignments in the review period</w:t>
      </w:r>
      <w:r>
        <w:br/>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br/>
      </w:r>
      <w:r>
        <w:rPr>
          <w:rStyle w:val="NormalTok"/>
        </w:rPr>
        <w:t xml:space="preserve">    </w:t>
      </w:r>
      <w:r>
        <w:rPr>
          <w:rStyle w:val="StringTok"/>
        </w:rPr>
        <w:t xml:space="preserve">"https://graph.microsoft.com/v1.0/employeeExperience/learningCourseActivities"</w:t>
      </w:r>
      <w:r>
        <w:rPr>
          <w:rStyle w:val="NormalTok"/>
        </w:rPr>
        <w:t xml:space="preserve"> `</w:t>
      </w:r>
      <w:r>
        <w:br/>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br/>
      </w:r>
      <w:r>
        <w:rPr>
          <w:rStyle w:val="CommentTok"/>
        </w:rPr>
        <w:t xml:space="preserve"># Filter by course IDs in the Compliance training program</w:t>
      </w:r>
      <w:r>
        <w:br/>
      </w:r>
      <w:r>
        <w:rPr>
          <w:rStyle w:val="VariableTok"/>
        </w:rPr>
        <w:t xml:space="preserve">$aanCourses</w:t>
      </w:r>
      <w:r>
        <w:rPr>
          <w:rStyle w:val="NormalTok"/>
        </w:rPr>
        <w:t xml:space="preserve"> </w:t>
      </w:r>
      <w:r>
        <w:rPr>
          <w:rStyle w:val="OperatorTok"/>
        </w:rPr>
        <w:t xml:space="preserve">=</w:t>
      </w:r>
      <w:r>
        <w:rPr>
          <w:rStyle w:val="NormalTok"/>
        </w:rPr>
        <w:t xml:space="preserve"> </w:t>
      </w:r>
      <w:r>
        <w:rPr>
          <w:rStyle w:val="VariableTok"/>
        </w:rPr>
        <w:t xml:space="preserve">$response</w:t>
      </w:r>
      <w:r>
        <w:rPr>
          <w:rStyle w:val="OperatorTok"/>
        </w:rPr>
        <w:t xml:space="preserve">.</w:t>
      </w:r>
      <w:r>
        <w:rPr>
          <w:rStyle w:val="FunctionTok"/>
        </w:rPr>
        <w:t xml:space="preserve">value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br/>
      </w:r>
      <w:r>
        <w:rPr>
          <w:rStyle w:val="NormalTok"/>
        </w:rPr>
        <w:t xml:space="preserve">    </w:t>
      </w:r>
      <w:r>
        <w:rPr>
          <w:rStyle w:val="VariableTok"/>
        </w:rPr>
        <w:t xml:space="preserve">$_</w:t>
      </w:r>
      <w:r>
        <w:rPr>
          <w:rStyle w:val="OperatorTok"/>
        </w:rPr>
        <w:t xml:space="preserve">.</w:t>
      </w:r>
      <w:r>
        <w:rPr>
          <w:rStyle w:val="FunctionTok"/>
        </w:rPr>
        <w:t xml:space="preserve">courseId</w:t>
      </w:r>
      <w:r>
        <w:rPr>
          <w:rStyle w:val="NormalTok"/>
        </w:rPr>
        <w:t xml:space="preserve"> </w:t>
      </w:r>
      <w:r>
        <w:rPr>
          <w:rStyle w:val="OperatorTok"/>
        </w:rPr>
        <w:t xml:space="preserve">-</w:t>
      </w:r>
      <w:r>
        <w:rPr>
          <w:rStyle w:val="NormalTok"/>
        </w:rPr>
        <w:t xml:space="preserve">in </w:t>
      </w:r>
      <w:r>
        <w:rPr>
          <w:rStyle w:val="OperatorTok"/>
        </w:rPr>
        <w:t xml:space="preserve">@(</w:t>
      </w:r>
      <w:r>
        <w:rPr>
          <w:rStyle w:val="StringTok"/>
        </w:rPr>
        <w:t xml:space="preserve">"Compliance-AT2-2026"</w:t>
      </w:r>
      <w:r>
        <w:rPr>
          <w:rStyle w:val="OperatorTok"/>
        </w:rPr>
        <w:t xml:space="preserve">,</w:t>
      </w:r>
      <w:r>
        <w:rPr>
          <w:rStyle w:val="NormalTok"/>
        </w:rPr>
        <w:t xml:space="preserve"> </w:t>
      </w:r>
      <w:r>
        <w:rPr>
          <w:rStyle w:val="StringTok"/>
        </w:rPr>
        <w:t xml:space="preserve">"Compliance-AT3-SYSADMIN-2026"</w:t>
      </w:r>
      <w:r>
        <w:rPr>
          <w:rStyle w:val="OperatorTok"/>
        </w:rPr>
        <w:t xml:space="preserve">,</w:t>
      </w:r>
      <w:r>
        <w:br/>
      </w:r>
      <w:r>
        <w:rPr>
          <w:rStyle w:val="NormalTok"/>
        </w:rPr>
        <w:t xml:space="preserve">                       </w:t>
      </w:r>
      <w:r>
        <w:rPr>
          <w:rStyle w:val="StringTok"/>
        </w:rPr>
        <w:t xml:space="preserve">"Compliance-AT3-DEV-2026"</w:t>
      </w:r>
      <w:r>
        <w:rPr>
          <w:rStyle w:val="OperatorTok"/>
        </w:rPr>
        <w:t xml:space="preserve">,</w:t>
      </w:r>
      <w:r>
        <w:rPr>
          <w:rStyle w:val="NormalTok"/>
        </w:rPr>
        <w:t xml:space="preserve"> </w:t>
      </w:r>
      <w:r>
        <w:rPr>
          <w:rStyle w:val="StringTok"/>
        </w:rPr>
        <w:t xml:space="preserve">"Compliance-AT3-IR-2026"</w:t>
      </w:r>
      <w:r>
        <w:rPr>
          <w:rStyle w:val="OperatorTok"/>
        </w:rPr>
        <w:t xml:space="preserve">)</w:t>
      </w:r>
      <w:r>
        <w:br/>
      </w:r>
      <w:r>
        <w:rPr>
          <w:rStyle w:val="OperatorTok"/>
        </w:rPr>
        <w:t xml:space="preserve">}</w:t>
      </w:r>
      <w:r>
        <w:br/>
      </w:r>
      <w:r>
        <w:br/>
      </w:r>
      <w:r>
        <w:rPr>
          <w:rStyle w:val="CommentTok"/>
        </w:rPr>
        <w:t xml:space="preserve"># Export to JSON for governance substrate ingestion</w:t>
      </w:r>
      <w:r>
        <w:br/>
      </w:r>
      <w:r>
        <w:rPr>
          <w:rStyle w:val="VariableTok"/>
        </w:rPr>
        <w:t xml:space="preserve">$aanCourses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StringTok"/>
        </w:rPr>
        <w:t xml:space="preserve">"training-record-</w:t>
      </w:r>
      <w:r>
        <w:rPr>
          <w:rStyle w:val="OperatorTok"/>
        </w:rPr>
        <w:t xml:space="preserve">$((</w:t>
      </w:r>
      <w:r>
        <w:rPr>
          <w:rStyle w:val="FunctionTok"/>
        </w:rPr>
        <w:t xml:space="preserve">Get-Date</w:t>
      </w:r>
      <w:r>
        <w:rPr>
          <w:rStyle w:val="OperatorTok"/>
        </w:rPr>
        <w:t xml:space="preserve">)</w:t>
      </w:r>
      <w:r>
        <w:rPr>
          <w:rStyle w:val="StringTok"/>
        </w:rPr>
        <w:t xml:space="preserve">.Year)Q</w:t>
      </w:r>
      <w:r>
        <w:rPr>
          <w:rStyle w:val="OperatorTok"/>
        </w:rPr>
        <w:t xml:space="preserve">$([</w:t>
      </w:r>
      <w:r>
        <w:rPr>
          <w:rStyle w:val="NormalTok"/>
        </w:rPr>
        <w:t xml:space="preserve">math</w:t>
      </w:r>
      <w:r>
        <w:rPr>
          <w:rStyle w:val="OperatorTok"/>
        </w:rPr>
        <w:t xml:space="preserve">]::</w:t>
      </w:r>
      <w:r>
        <w:rPr>
          <w:rStyle w:val="NormalTok"/>
        </w:rPr>
        <w:t xml:space="preserve">Ceiling</w:t>
      </w:r>
      <w:r>
        <w:rPr>
          <w:rStyle w:val="OperatorTok"/>
        </w:rPr>
        <w:t xml:space="preserve">((</w:t>
      </w:r>
      <w:r>
        <w:rPr>
          <w:rStyle w:val="FunctionTok"/>
        </w:rPr>
        <w:t xml:space="preserve">Get-Date</w:t>
      </w:r>
      <w:r>
        <w:rPr>
          <w:rStyle w:val="OperatorTok"/>
        </w:rPr>
        <w:t xml:space="preserve">)</w:t>
      </w:r>
      <w:r>
        <w:rPr>
          <w:rStyle w:val="StringTok"/>
        </w:rPr>
        <w:t xml:space="preserve">.Month/3)).json"</w:t>
      </w:r>
    </w:p>
    <w:bookmarkEnd w:id="203"/>
    <w:bookmarkStart w:id="204" w:name="automated-monthly-export"/>
    <w:p>
      <w:pPr>
        <w:pStyle w:val="Heading3"/>
      </w:pPr>
      <w:r>
        <w:t xml:space="preserve">Automated Monthly Export</w:t>
      </w:r>
    </w:p>
    <w:p>
      <w:pPr>
        <w:pStyle w:val="FirstParagraph"/>
      </w:pPr>
      <w:r>
        <w:t xml:space="preserve">The training completion export should run on a monthly schedule so the</w:t>
      </w:r>
      <w:r>
        <w:t xml:space="preserve"> </w:t>
      </w:r>
      <w:r>
        <w:t xml:space="preserve">governance substrate always reflects current completion status. The recommended</w:t>
      </w:r>
      <w:r>
        <w:t xml:space="preserve"> </w:t>
      </w:r>
      <w:r>
        <w:t xml:space="preserve">pattern:</w:t>
      </w:r>
    </w:p>
    <w:p>
      <w:pPr>
        <w:pStyle w:val="Compact"/>
        <w:numPr>
          <w:ilvl w:val="0"/>
          <w:numId w:val="1048"/>
        </w:numPr>
      </w:pPr>
      <w:r>
        <w:rPr>
          <w:b/>
          <w:bCs/>
        </w:rPr>
        <w:t xml:space="preserve">Logic App or Azure Automation runbook</w:t>
      </w:r>
      <w:r>
        <w:t xml:space="preserve"> </w:t>
      </w:r>
      <w:r>
        <w:t xml:space="preserve">triggers on the 1st of each month</w:t>
      </w:r>
    </w:p>
    <w:p>
      <w:pPr>
        <w:pStyle w:val="Compact"/>
        <w:numPr>
          <w:ilvl w:val="0"/>
          <w:numId w:val="1048"/>
        </w:numPr>
      </w:pPr>
      <w:r>
        <w:rPr>
          <w:b/>
          <w:bCs/>
        </w:rPr>
        <w:t xml:space="preserve">Graph API call</w:t>
      </w:r>
      <w:r>
        <w:t xml:space="preserve"> </w:t>
      </w:r>
      <w:r>
        <w:t xml:space="preserve">retrieves completion records for all Compliance training courses</w:t>
      </w:r>
    </w:p>
    <w:p>
      <w:pPr>
        <w:pStyle w:val="Compact"/>
        <w:numPr>
          <w:ilvl w:val="0"/>
          <w:numId w:val="1048"/>
        </w:numPr>
      </w:pPr>
      <w:r>
        <w:rPr>
          <w:b/>
          <w:bCs/>
        </w:rPr>
        <w:t xml:space="preserve">Transform</w:t>
      </w:r>
      <w:r>
        <w:t xml:space="preserve"> </w:t>
      </w:r>
      <w:r>
        <w:t xml:space="preserve">maps Graph API response to the</w:t>
      </w:r>
      <w:r>
        <w:t xml:space="preserve"> </w:t>
      </w:r>
      <w:r>
        <w:rPr>
          <w:rStyle w:val="VerbatimChar"/>
        </w:rPr>
        <w:t xml:space="preserve">training-effectiveness-record</w:t>
      </w:r>
      <w:r>
        <w:t xml:space="preserve"> </w:t>
      </w:r>
      <w:r>
        <w:t xml:space="preserve">schema</w:t>
      </w:r>
    </w:p>
    <w:p>
      <w:pPr>
        <w:pStyle w:val="Compact"/>
        <w:numPr>
          <w:ilvl w:val="0"/>
          <w:numId w:val="1048"/>
        </w:numPr>
      </w:pPr>
      <w:r>
        <w:rPr>
          <w:b/>
          <w:bCs/>
        </w:rPr>
        <w:t xml:space="preserve">Storage</w:t>
      </w:r>
      <w:r>
        <w:t xml:space="preserve"> </w:t>
      </w:r>
      <w:r>
        <w:t xml:space="preserve">writes the JSON to the governance record store (Azure Storage, GCC-compliant)</w:t>
      </w:r>
    </w:p>
    <w:p>
      <w:pPr>
        <w:pStyle w:val="Compact"/>
        <w:numPr>
          <w:ilvl w:val="0"/>
          <w:numId w:val="1048"/>
        </w:numPr>
      </w:pPr>
      <w:r>
        <w:rPr>
          <w:b/>
          <w:bCs/>
        </w:rPr>
        <w:t xml:space="preserve">governance substrate pull</w:t>
      </w:r>
      <w:r>
        <w:t xml:space="preserve"> </w:t>
      </w:r>
      <w:r>
        <w:t xml:space="preserve">ingests the record on the next evidence collection cycle</w:t>
      </w:r>
    </w:p>
    <w:p>
      <w:r>
        <w:pict>
          <v:rect style="width:0;height:1.5pt" o:hralign="center" o:hrstd="t" o:hr="t"/>
        </w:pict>
      </w:r>
    </w:p>
    <w:bookmarkEnd w:id="204"/>
    <w:bookmarkEnd w:id="205"/>
    <w:bookmarkEnd w:id="206"/>
    <w:bookmarkStart w:id="210" w:name="nist-control-closure"/>
    <w:p>
      <w:pPr>
        <w:pStyle w:val="Heading1"/>
      </w:pPr>
      <w:r>
        <w:t xml:space="preserve">NIST Control Closure</w:t>
      </w:r>
    </w:p>
    <w:bookmarkStart w:id="207" w:name="at-family-awareness-and-training"/>
    <w:p>
      <w:pPr>
        <w:pStyle w:val="Heading2"/>
      </w:pPr>
      <w:r>
        <w:t xml:space="preserve">AT Family — Awareness and Training</w:t>
      </w:r>
    </w:p>
    <w:p>
      <w:pPr>
        <w:pStyle w:val="TableCaption"/>
      </w:pPr>
      <w:r>
        <w:t xml:space="preserve">AT Family Control Closure</w:t>
      </w:r>
    </w:p>
    <w:tbl>
      <w:tblPr>
        <w:tblStyle w:val="Table"/>
        <w:tblW w:type="pct" w:w="5000"/>
        <w:tblLayout w:type="fixed"/>
        <w:tblLook w:firstRow="1" w:lastRow="0" w:firstColumn="0" w:lastColumn="0" w:noHBand="0" w:noVBand="0" w:val="0020"/>
        <w:tblCaption w:val="AT Family Control Closure"/>
      </w:tblPr>
      <w:tblGrid>
        <w:gridCol w:w="1425"/>
        <w:gridCol w:w="2059"/>
        <w:gridCol w:w="4435"/>
      </w:tblGrid>
      <w:tr>
        <w:trPr>
          <w:tblHeader w:val="on"/>
        </w:trPr>
        <w:tc>
          <w:tcPr/>
          <w:p>
            <w:pPr>
              <w:pStyle w:val="Compact"/>
            </w:pPr>
            <w:r>
              <w:t xml:space="preserve">Control</w:t>
            </w:r>
          </w:p>
        </w:tc>
        <w:tc>
          <w:tcPr/>
          <w:p>
            <w:pPr>
              <w:pStyle w:val="Compact"/>
            </w:pPr>
            <w:r>
              <w:t xml:space="preserve">Requirement</w:t>
            </w:r>
          </w:p>
        </w:tc>
        <w:tc>
          <w:tcPr/>
          <w:p>
            <w:pPr>
              <w:pStyle w:val="Compact"/>
            </w:pPr>
            <w:r>
              <w:t xml:space="preserve">How This Document Closes It</w:t>
            </w:r>
          </w:p>
        </w:tc>
      </w:tr>
      <w:tr>
        <w:tc>
          <w:tcPr/>
          <w:p>
            <w:pPr>
              <w:pStyle w:val="Compact"/>
            </w:pPr>
            <w:r>
              <w:rPr>
                <w:b/>
                <w:bCs/>
              </w:rPr>
              <w:t xml:space="preserve">AT-2</w:t>
            </w:r>
          </w:p>
        </w:tc>
        <w:tc>
          <w:tcPr/>
          <w:p>
            <w:pPr>
              <w:pStyle w:val="Compact"/>
            </w:pPr>
            <w:r>
              <w:t xml:space="preserve">Security awareness training for all personnel before access and annually</w:t>
            </w:r>
          </w:p>
        </w:tc>
        <w:tc>
          <w:tcPr/>
          <w:p>
            <w:pPr>
              <w:pStyle w:val="Compact"/>
            </w:pPr>
            <w:r>
              <w:t xml:space="preserve">Annual Viva Learning program covering all 8 modules; phishing simulation quarterly; LMS completion record as AT-4 evidence</w:t>
            </w:r>
          </w:p>
        </w:tc>
      </w:tr>
      <w:tr>
        <w:tc>
          <w:tcPr/>
          <w:p>
            <w:pPr>
              <w:pStyle w:val="Compact"/>
            </w:pPr>
            <w:r>
              <w:rPr>
                <w:b/>
                <w:bCs/>
              </w:rPr>
              <w:t xml:space="preserve">AT-2(1)</w:t>
            </w:r>
          </w:p>
        </w:tc>
        <w:tc>
          <w:tcPr/>
          <w:p>
            <w:pPr>
              <w:pStyle w:val="Compact"/>
            </w:pPr>
            <w:r>
              <w:t xml:space="preserve">Practical exercises</w:t>
            </w:r>
          </w:p>
        </w:tc>
        <w:tc>
          <w:tcPr/>
          <w:p>
            <w:pPr>
              <w:pStyle w:val="Compact"/>
            </w:pPr>
            <w:r>
              <w:t xml:space="preserve">Quarterly phishing simulation with click-rate tracking and remedial training trigger</w:t>
            </w:r>
          </w:p>
        </w:tc>
      </w:tr>
      <w:tr>
        <w:tc>
          <w:tcPr/>
          <w:p>
            <w:pPr>
              <w:pStyle w:val="Compact"/>
            </w:pPr>
            <w:r>
              <w:rPr>
                <w:b/>
                <w:bCs/>
              </w:rPr>
              <w:t xml:space="preserve">AT-2(2)</w:t>
            </w:r>
          </w:p>
        </w:tc>
        <w:tc>
          <w:tcPr/>
          <w:p>
            <w:pPr>
              <w:pStyle w:val="Compact"/>
            </w:pPr>
            <w:r>
              <w:t xml:space="preserve">Insider threat awareness</w:t>
            </w:r>
          </w:p>
        </w:tc>
        <w:tc>
          <w:tcPr/>
          <w:p>
            <w:pPr>
              <w:pStyle w:val="Compact"/>
            </w:pPr>
            <w:r>
              <w:t xml:space="preserve">Dedicated insider threat module in annual awareness program</w:t>
            </w:r>
          </w:p>
        </w:tc>
      </w:tr>
      <w:tr>
        <w:tc>
          <w:tcPr/>
          <w:p>
            <w:pPr>
              <w:pStyle w:val="Compact"/>
            </w:pPr>
            <w:r>
              <w:rPr>
                <w:b/>
                <w:bCs/>
              </w:rPr>
              <w:t xml:space="preserve">AT-3</w:t>
            </w:r>
          </w:p>
        </w:tc>
        <w:tc>
          <w:tcPr/>
          <w:p>
            <w:pPr>
              <w:pStyle w:val="Compact"/>
            </w:pPr>
            <w:r>
              <w:t xml:space="preserve">Role-based training for personnel with security responsibilities</w:t>
            </w:r>
          </w:p>
        </w:tc>
        <w:tc>
          <w:tcPr/>
          <w:p>
            <w:pPr>
              <w:pStyle w:val="Compact"/>
            </w:pPr>
            <w:r>
              <w:t xml:space="preserve">Six-tier role matrix with distinct curricula; completion tracked separately per tier</w:t>
            </w:r>
          </w:p>
        </w:tc>
      </w:tr>
      <w:tr>
        <w:tc>
          <w:tcPr/>
          <w:p>
            <w:pPr>
              <w:pStyle w:val="Compact"/>
            </w:pPr>
            <w:r>
              <w:rPr>
                <w:b/>
                <w:bCs/>
              </w:rPr>
              <w:t xml:space="preserve">AT-3(3)</w:t>
            </w:r>
          </w:p>
        </w:tc>
        <w:tc>
          <w:tcPr/>
          <w:p>
            <w:pPr>
              <w:pStyle w:val="Compact"/>
            </w:pPr>
            <w:r>
              <w:t xml:space="preserve">Practical exercises for high-risk roles</w:t>
            </w:r>
          </w:p>
        </w:tc>
        <w:tc>
          <w:tcPr/>
          <w:p>
            <w:pPr>
              <w:pStyle w:val="Compact"/>
            </w:pPr>
            <w:r>
              <w:t xml:space="preserve">Hands-on SBOM/Grype labs for Tier 3; Sentinel drill exercises for Tier 4; tabletop participation for Tier 1</w:t>
            </w:r>
          </w:p>
        </w:tc>
      </w:tr>
      <w:tr>
        <w:tc>
          <w:tcPr/>
          <w:p>
            <w:pPr>
              <w:pStyle w:val="Compact"/>
            </w:pPr>
            <w:r>
              <w:rPr>
                <w:b/>
                <w:bCs/>
              </w:rPr>
              <w:t xml:space="preserve">AT-3(5)</w:t>
            </w:r>
          </w:p>
        </w:tc>
        <w:tc>
          <w:tcPr/>
          <w:p>
            <w:pPr>
              <w:pStyle w:val="Compact"/>
            </w:pPr>
            <w:r>
              <w:t xml:space="preserve">Processing Personally Identifiable Information</w:t>
            </w:r>
          </w:p>
        </w:tc>
        <w:tc>
          <w:tcPr/>
          <w:p>
            <w:pPr>
              <w:pStyle w:val="Compact"/>
            </w:pPr>
            <w:r>
              <w:t xml:space="preserve">Purview DLP and sensitivity label training for Tier 5 data stewards; connects to Vol IV Book 04</w:t>
            </w:r>
          </w:p>
        </w:tc>
      </w:tr>
      <w:tr>
        <w:tc>
          <w:tcPr/>
          <w:p>
            <w:pPr>
              <w:pStyle w:val="Compact"/>
            </w:pPr>
            <w:r>
              <w:rPr>
                <w:b/>
                <w:bCs/>
              </w:rPr>
              <w:t xml:space="preserve">AT-4</w:t>
            </w:r>
          </w:p>
        </w:tc>
        <w:tc>
          <w:tcPr/>
          <w:p>
            <w:pPr>
              <w:pStyle w:val="Compact"/>
            </w:pPr>
            <w:r>
              <w:t xml:space="preserve">Training records</w:t>
            </w:r>
          </w:p>
        </w:tc>
        <w:tc>
          <w:tcPr/>
          <w:p>
            <w:pPr>
              <w:pStyle w:val="Compact"/>
            </w:pPr>
            <w:r>
              <w:t xml:space="preserve">LMS-agnostic</w:t>
            </w:r>
            <w:r>
              <w:t xml:space="preserve"> </w:t>
            </w:r>
            <w:r>
              <w:rPr>
                <w:rStyle w:val="VerbatimChar"/>
              </w:rPr>
              <w:t xml:space="preserve">governance.training-effectiveness-record</w:t>
            </w:r>
            <w:r>
              <w:t xml:space="preserve"> </w:t>
            </w:r>
            <w:r>
              <w:t xml:space="preserve">JSON schema (the evidence contract); current adapter: Viva Learning Graph API export; monthly automated pull to governance substrate</w:t>
            </w:r>
          </w:p>
        </w:tc>
      </w:tr>
    </w:tbl>
    <w:bookmarkEnd w:id="207"/>
    <w:bookmarkStart w:id="208" w:name="cp-and-ir-family-contributions"/>
    <w:p>
      <w:pPr>
        <w:pStyle w:val="Heading2"/>
      </w:pPr>
      <w:r>
        <w:t xml:space="preserve">CP and IR Family Contributions</w:t>
      </w:r>
    </w:p>
    <w:p>
      <w:pPr>
        <w:pStyle w:val="TableCaption"/>
      </w:pPr>
      <w:r>
        <w:t xml:space="preserve">CP-3 and IR-2 Contributions</w:t>
      </w:r>
    </w:p>
    <w:tbl>
      <w:tblPr>
        <w:tblStyle w:val="Table"/>
        <w:tblW w:type="pct" w:w="5000"/>
        <w:tblLayout w:type="fixed"/>
        <w:tblLook w:firstRow="1" w:lastRow="0" w:firstColumn="0" w:lastColumn="0" w:noHBand="0" w:noVBand="0" w:val="0020"/>
        <w:tblCaption w:val="CP-3 and IR-2 Contributions"/>
      </w:tblPr>
      <w:tblGrid>
        <w:gridCol w:w="1827"/>
        <w:gridCol w:w="6092"/>
      </w:tblGrid>
      <w:tr>
        <w:trPr>
          <w:tblHeader w:val="on"/>
        </w:trPr>
        <w:tc>
          <w:tcPr/>
          <w:p>
            <w:pPr>
              <w:pStyle w:val="Compact"/>
            </w:pPr>
            <w:r>
              <w:t xml:space="preserve">Control</w:t>
            </w:r>
          </w:p>
        </w:tc>
        <w:tc>
          <w:tcPr/>
          <w:p>
            <w:pPr>
              <w:pStyle w:val="Compact"/>
            </w:pPr>
            <w:r>
              <w:t xml:space="preserve">How This Document Contributes</w:t>
            </w:r>
          </w:p>
        </w:tc>
      </w:tr>
      <w:tr>
        <w:tc>
          <w:tcPr/>
          <w:p>
            <w:pPr>
              <w:pStyle w:val="Compact"/>
            </w:pPr>
            <w:r>
              <w:rPr>
                <w:b/>
                <w:bCs/>
              </w:rPr>
              <w:t xml:space="preserve">CP-3</w:t>
            </w:r>
          </w:p>
        </w:tc>
        <w:tc>
          <w:tcPr/>
          <w:p>
            <w:pPr>
              <w:pStyle w:val="Compact"/>
            </w:pPr>
            <w:r>
              <w:t xml:space="preserve">Annual tabletop calendar with four quarterly exercises; attendance and after-action records archived; feeds PM-14 T&amp;T&amp;M tracker</w:t>
            </w:r>
          </w:p>
        </w:tc>
      </w:tr>
      <w:tr>
        <w:tc>
          <w:tcPr/>
          <w:p>
            <w:pPr>
              <w:pStyle w:val="Compact"/>
            </w:pPr>
            <w:r>
              <w:rPr>
                <w:b/>
                <w:bCs/>
              </w:rPr>
              <w:t xml:space="preserve">IR-2</w:t>
            </w:r>
          </w:p>
        </w:tc>
        <w:tc>
          <w:tcPr/>
          <w:p>
            <w:pPr>
              <w:pStyle w:val="Compact"/>
            </w:pPr>
            <w:r>
              <w:t xml:space="preserve">Semi-annual IR procedure drills; quarterly Sentinel playbook exercises; scenario library maintained by SOC; after-action reports archived</w:t>
            </w:r>
          </w:p>
        </w:tc>
      </w:tr>
    </w:tbl>
    <w:bookmarkEnd w:id="208"/>
    <w:bookmarkStart w:id="209" w:name="X47bc072e4dc58c1e3bf6072845774aeb2838b07"/>
    <w:p>
      <w:pPr>
        <w:pStyle w:val="Heading2"/>
      </w:pPr>
      <w:r>
        <w:t xml:space="preserve">Net New Controls Closed by Vol IV Book 05</w:t>
      </w:r>
    </w:p>
    <w:p>
      <w:pPr>
        <w:pStyle w:val="TableCaption"/>
      </w:pPr>
      <w:r>
        <w:t xml:space="preserve">Vol IV Book 05 — Net New NIST SP 800-53 Rev 5 Controls Closed</w:t>
      </w:r>
    </w:p>
    <w:tbl>
      <w:tblPr>
        <w:tblStyle w:val="Table"/>
        <w:tblW w:type="pct" w:w="5000"/>
        <w:tblLayout w:type="fixed"/>
        <w:tblLook w:firstRow="1" w:lastRow="0" w:firstColumn="0" w:lastColumn="0" w:noHBand="0" w:noVBand="0" w:val="0020"/>
        <w:tblCaption w:val="Vol IV Book 05 — Net New NIST SP 800-53 Rev 5 Controls Closed"/>
      </w:tblPr>
      <w:tblGrid>
        <w:gridCol w:w="2640"/>
        <w:gridCol w:w="2970"/>
        <w:gridCol w:w="2310"/>
      </w:tblGrid>
      <w:tr>
        <w:trPr>
          <w:tblHeader w:val="on"/>
        </w:trPr>
        <w:tc>
          <w:tcPr/>
          <w:p>
            <w:pPr>
              <w:pStyle w:val="Compact"/>
            </w:pPr>
            <w:r>
              <w:t xml:space="preserve">Family</w:t>
            </w:r>
          </w:p>
        </w:tc>
        <w:tc>
          <w:tcPr/>
          <w:p>
            <w:pPr>
              <w:pStyle w:val="Compact"/>
            </w:pPr>
            <w:r>
              <w:t xml:space="preserve">Controls</w:t>
            </w:r>
          </w:p>
        </w:tc>
        <w:tc>
          <w:tcPr/>
          <w:p>
            <w:pPr>
              <w:pStyle w:val="Compact"/>
            </w:pPr>
            <w:r>
              <w:t xml:space="preserve">Count</w:t>
            </w:r>
          </w:p>
        </w:tc>
      </w:tr>
      <w:tr>
        <w:tc>
          <w:tcPr/>
          <w:p>
            <w:pPr>
              <w:pStyle w:val="Compact"/>
            </w:pPr>
            <w:r>
              <w:t xml:space="preserve">AT — Awareness and Training</w:t>
            </w:r>
          </w:p>
        </w:tc>
        <w:tc>
          <w:tcPr/>
          <w:p>
            <w:pPr>
              <w:pStyle w:val="Compact"/>
            </w:pPr>
            <w:r>
              <w:t xml:space="preserve">AT-2, AT-2(1), AT-2(2), AT-3, AT-3(3), AT-3(5), AT-4</w:t>
            </w:r>
          </w:p>
        </w:tc>
        <w:tc>
          <w:tcPr/>
          <w:p>
            <w:pPr>
              <w:pStyle w:val="Compact"/>
            </w:pPr>
            <w:r>
              <w:t xml:space="preserve">7</w:t>
            </w:r>
          </w:p>
        </w:tc>
      </w:tr>
      <w:tr>
        <w:tc>
          <w:tcPr/>
          <w:p>
            <w:pPr>
              <w:pStyle w:val="Compact"/>
            </w:pPr>
            <w:r>
              <w:t xml:space="preserve">CP — Contingency Planning</w:t>
            </w:r>
          </w:p>
        </w:tc>
        <w:tc>
          <w:tcPr/>
          <w:p>
            <w:pPr>
              <w:pStyle w:val="Compact"/>
            </w:pPr>
            <w:r>
              <w:t xml:space="preserve">CP-3 (tabletop evidence; plan execution link)</w:t>
            </w:r>
          </w:p>
        </w:tc>
        <w:tc>
          <w:tcPr/>
          <w:p>
            <w:pPr>
              <w:pStyle w:val="Compact"/>
            </w:pPr>
            <w:r>
              <w:t xml:space="preserve">1</w:t>
            </w:r>
          </w:p>
        </w:tc>
      </w:tr>
      <w:tr>
        <w:tc>
          <w:tcPr/>
          <w:p>
            <w:pPr>
              <w:pStyle w:val="Compact"/>
            </w:pPr>
            <w:r>
              <w:t xml:space="preserve">IR — Incident Response</w:t>
            </w:r>
          </w:p>
        </w:tc>
        <w:tc>
          <w:tcPr/>
          <w:p>
            <w:pPr>
              <w:pStyle w:val="Compact"/>
            </w:pPr>
            <w:r>
              <w:t xml:space="preserve">IR-2 (drill evidence; playbook link)</w:t>
            </w:r>
          </w:p>
        </w:tc>
        <w:tc>
          <w:tcPr/>
          <w:p>
            <w:pPr>
              <w:pStyle w:val="Compact"/>
            </w:pPr>
            <w:r>
              <w:t xml:space="preserve">1</w:t>
            </w:r>
          </w:p>
        </w:tc>
      </w:tr>
      <w:tr>
        <w:tc>
          <w:tcPr/>
          <w:p>
            <w:pPr>
              <w:pStyle w:val="Compact"/>
            </w:pPr>
            <w:r>
              <w:rPr>
                <w:b/>
                <w:bCs/>
              </w:rPr>
              <w:t xml:space="preserve">Total</w:t>
            </w:r>
          </w:p>
        </w:tc>
        <w:tc>
          <w:tcPr/>
          <w:p>
            <w:pPr>
              <w:pStyle w:val="Compact"/>
            </w:pPr>
          </w:p>
        </w:tc>
        <w:tc>
          <w:tcPr/>
          <w:p>
            <w:pPr>
              <w:pStyle w:val="Compact"/>
            </w:pPr>
            <w:r>
              <w:rPr>
                <w:b/>
                <w:bCs/>
              </w:rPr>
              <w:t xml:space="preserve">9 closure rows</w:t>
            </w:r>
            <w:r>
              <w:t xml:space="preserve"> </w:t>
            </w:r>
            <w:r>
              <w:t xml:space="preserve">(5 base + 4 enhancements)</w:t>
            </w:r>
          </w:p>
        </w:tc>
      </w:tr>
    </w:tbl>
    <w:p>
      <w:r>
        <w:pict>
          <v:rect style="width:0;height:1.5pt" o:hralign="center" o:hrstd="t" o:hr="t"/>
        </w:pict>
      </w:r>
    </w:p>
    <w:bookmarkEnd w:id="209"/>
    <w:bookmarkEnd w:id="210"/>
    <w:bookmarkStart w:id="214" w:name="ksi-ced-rat-activation"/>
    <w:p>
      <w:pPr>
        <w:pStyle w:val="Heading1"/>
      </w:pPr>
      <w:r>
        <w:t xml:space="preserve">KSI-CED-RAT Activation</w:t>
      </w:r>
    </w:p>
    <w:bookmarkStart w:id="211" w:name="evidence-contract"/>
    <w:p>
      <w:pPr>
        <w:pStyle w:val="Heading2"/>
      </w:pPr>
      <w:r>
        <w:t xml:space="preserve">Evidence Contract</w:t>
      </w:r>
    </w:p>
    <w:p>
      <w:pPr>
        <w:pStyle w:val="FirstParagraph"/>
      </w:pPr>
      <w:r>
        <w:t xml:space="preserve">KSI-022 (KSI-CED-RAT —</w:t>
      </w:r>
      <w:r>
        <w:t xml:space="preserve"> </w:t>
      </w:r>
      <w:r>
        <w:t xml:space="preserve">“Reviewing All Training”</w:t>
      </w:r>
      <w:r>
        <w:t xml:space="preserve">) is the final scaffold</w:t>
      </w:r>
      <w:r>
        <w:t xml:space="preserve"> </w:t>
      </w:r>
      <w:r>
        <w:t xml:space="preserve">rule in the internal CR26 ruleset. Its activation requires a</w:t>
      </w:r>
      <w:r>
        <w:t xml:space="preserve"> </w:t>
      </w:r>
      <w:r>
        <w:rPr>
          <w:rStyle w:val="VerbatimChar"/>
        </w:rPr>
        <w:t xml:space="preserve">governance.training-effectiveness-record</w:t>
      </w:r>
      <w:r>
        <w:t xml:space="preserve"> </w:t>
      </w:r>
      <w:r>
        <w:t xml:space="preserve">that demonstrates persistent</w:t>
      </w:r>
      <w:r>
        <w:t xml:space="preserve"> </w:t>
      </w:r>
      <w:r>
        <w:t xml:space="preserve">review of all four training dimensions.</w:t>
      </w:r>
    </w:p>
    <w:p>
      <w:pPr>
        <w:pStyle w:val="BodyText"/>
      </w:pPr>
      <w:r>
        <w:t xml:space="preserve">This document provides:</w:t>
      </w:r>
    </w:p>
    <w:p>
      <w:pPr>
        <w:numPr>
          <w:ilvl w:val="0"/>
          <w:numId w:val="1049"/>
        </w:numPr>
      </w:pPr>
      <w:r>
        <w:rPr>
          <w:b/>
          <w:bCs/>
        </w:rPr>
        <w:t xml:space="preserve">Dimension 1 (AT-2):</w:t>
      </w:r>
      <w:r>
        <w:t xml:space="preserve"> </w:t>
      </w:r>
      <w:r>
        <w:t xml:space="preserve">Annual Viva Learning program with monthly LMS</w:t>
      </w:r>
      <w:r>
        <w:t xml:space="preserve"> </w:t>
      </w:r>
      <w:r>
        <w:t xml:space="preserve">export — the record shows completion rate, population covered, and</w:t>
      </w:r>
      <w:r>
        <w:t xml:space="preserve"> </w:t>
      </w:r>
      <w:r>
        <w:t xml:space="preserve">phishing simulation results</w:t>
      </w:r>
    </w:p>
    <w:p>
      <w:pPr>
        <w:numPr>
          <w:ilvl w:val="0"/>
          <w:numId w:val="1049"/>
        </w:numPr>
      </w:pPr>
      <w:r>
        <w:rPr>
          <w:b/>
          <w:bCs/>
        </w:rPr>
        <w:t xml:space="preserve">Dimension 2 (AT-3 role-based):</w:t>
      </w:r>
      <w:r>
        <w:t xml:space="preserve"> </w:t>
      </w:r>
      <w:r>
        <w:t xml:space="preserve">Six-tier completion record in the</w:t>
      </w:r>
      <w:r>
        <w:t xml:space="preserve"> </w:t>
      </w:r>
      <w:r>
        <w:t xml:space="preserve">JSON schema — each tier tracked separately, completion rate and overdue</w:t>
      </w:r>
      <w:r>
        <w:t xml:space="preserve"> </w:t>
      </w:r>
      <w:r>
        <w:t xml:space="preserve">count visible</w:t>
      </w:r>
    </w:p>
    <w:p>
      <w:pPr>
        <w:numPr>
          <w:ilvl w:val="0"/>
          <w:numId w:val="1049"/>
        </w:numPr>
      </w:pPr>
      <w:r>
        <w:rPr>
          <w:b/>
          <w:bCs/>
        </w:rPr>
        <w:t xml:space="preserve">Dimension 3 (AT-3 secure delivery):</w:t>
      </w:r>
      <w:r>
        <w:t xml:space="preserve"> </w:t>
      </w:r>
      <w:r>
        <w:t xml:space="preserve">Developer lab completion</w:t>
      </w:r>
      <w:r>
        <w:t xml:space="preserve"> </w:t>
      </w:r>
      <w:r>
        <w:t xml:space="preserve">records and course transcripts — Syft/Grype labs produce a</w:t>
      </w:r>
      <w:r>
        <w:t xml:space="preserve"> </w:t>
      </w:r>
      <w:r>
        <w:t xml:space="preserve">participation record</w:t>
      </w:r>
    </w:p>
    <w:p>
      <w:pPr>
        <w:numPr>
          <w:ilvl w:val="0"/>
          <w:numId w:val="1049"/>
        </w:numPr>
      </w:pPr>
      <w:r>
        <w:rPr>
          <w:b/>
          <w:bCs/>
        </w:rPr>
        <w:t xml:space="preserve">Dimension 4 (IR-2/CP-3):</w:t>
      </w:r>
      <w:r>
        <w:t xml:space="preserve"> </w:t>
      </w:r>
      <w:r>
        <w:t xml:space="preserve">Tabletop attendance records and after-action</w:t>
      </w:r>
      <w:r>
        <w:t xml:space="preserve"> </w:t>
      </w:r>
      <w:r>
        <w:t xml:space="preserve">reports — archived documents with dates, attendees, and findings</w:t>
      </w:r>
    </w:p>
    <w:p>
      <w:pPr>
        <w:pStyle w:val="FirstParagraph"/>
      </w:pPr>
      <w:r>
        <w:t xml:space="preserve">When the monthly LMS export is running and the governance substrate is ingesting</w:t>
      </w:r>
      <w:r>
        <w:t xml:space="preserve"> </w:t>
      </w:r>
      <w:r>
        <w:t xml:space="preserve">it, the</w:t>
      </w:r>
      <w:r>
        <w:t xml:space="preserve"> </w:t>
      </w:r>
      <w:r>
        <w:rPr>
          <w:rStyle w:val="VerbatimChar"/>
        </w:rPr>
        <w:t xml:space="preserve">ksi_ced_rat_status</w:t>
      </w:r>
      <w:r>
        <w:t xml:space="preserve"> </w:t>
      </w:r>
      <w:r>
        <w:t xml:space="preserve">field in the record evaluates to</w:t>
      </w:r>
      <w:r>
        <w:t xml:space="preserve"> </w:t>
      </w:r>
      <w:r>
        <w:rPr>
          <w:rStyle w:val="VerbatimChar"/>
        </w:rPr>
        <w:t xml:space="preserve">PASS</w:t>
      </w:r>
      <w:r>
        <w:t xml:space="preserve"> </w:t>
      </w:r>
      <w:r>
        <w:t xml:space="preserve">when:</w:t>
      </w:r>
    </w:p>
    <w:p>
      <w:pPr>
        <w:pStyle w:val="Compact"/>
        <w:numPr>
          <w:ilvl w:val="0"/>
          <w:numId w:val="1050"/>
        </w:numPr>
      </w:pPr>
      <w:r>
        <w:t xml:space="preserve">AT-2 completion rate ≥ 95% (allowing for onboarding lag and approved exceptions)</w:t>
      </w:r>
    </w:p>
    <w:p>
      <w:pPr>
        <w:pStyle w:val="Compact"/>
        <w:numPr>
          <w:ilvl w:val="0"/>
          <w:numId w:val="1050"/>
        </w:numPr>
      </w:pPr>
      <w:r>
        <w:t xml:space="preserve">AT-3 completion rate ≥ 95% per tier</w:t>
      </w:r>
    </w:p>
    <w:p>
      <w:pPr>
        <w:pStyle w:val="Compact"/>
        <w:numPr>
          <w:ilvl w:val="0"/>
          <w:numId w:val="1050"/>
        </w:numPr>
      </w:pPr>
      <w:r>
        <w:t xml:space="preserve">AT-3 secure delivery completion rate ≥ 95%</w:t>
      </w:r>
    </w:p>
    <w:p>
      <w:pPr>
        <w:pStyle w:val="Compact"/>
        <w:numPr>
          <w:ilvl w:val="0"/>
          <w:numId w:val="1050"/>
        </w:numPr>
      </w:pPr>
      <w:r>
        <w:t xml:space="preserve">IR/DR drills conducted on schedule (both semi-annual drills run; tabletop run)</w:t>
      </w:r>
    </w:p>
    <w:bookmarkEnd w:id="211"/>
    <w:bookmarkStart w:id="212" w:name="ksi-022-status-after-vol-iv-book-05"/>
    <w:p>
      <w:pPr>
        <w:pStyle w:val="Heading2"/>
      </w:pPr>
      <w:r>
        <w:t xml:space="preserve">KSI-022 Status After Vol IV Book 05</w:t>
      </w:r>
    </w:p>
    <w:p>
      <w:pPr>
        <w:pStyle w:val="FirstParagraph"/>
      </w:pPr>
      <w:r>
        <w:t xml:space="preserve">Once the monthly LMS export is operational and the first</w:t>
      </w:r>
      <w:r>
        <w:t xml:space="preserve"> </w:t>
      </w:r>
      <w:r>
        <w:rPr>
          <w:rStyle w:val="VerbatimChar"/>
        </w:rPr>
        <w:t xml:space="preserve">training-effectiveness-record</w:t>
      </w:r>
      <w:r>
        <w:t xml:space="preserve"> </w:t>
      </w:r>
      <w:r>
        <w:t xml:space="preserve">is ingested by the governance substrate:</w:t>
      </w:r>
    </w:p>
    <w:p>
      <w:pPr>
        <w:pStyle w:val="Compact"/>
        <w:numPr>
          <w:ilvl w:val="0"/>
          <w:numId w:val="1051"/>
        </w:numPr>
      </w:pPr>
      <w:r>
        <w:rPr>
          <w:b/>
          <w:bCs/>
        </w:rPr>
        <w:t xml:space="preserve">KSI-022 status:</w:t>
      </w:r>
      <w:r>
        <w:t xml:space="preserve"> </w:t>
      </w:r>
      <w:r>
        <w:t xml:space="preserve">scaffold →</w:t>
      </w:r>
      <w:r>
        <w:t xml:space="preserve"> </w:t>
      </w:r>
      <w:r>
        <w:rPr>
          <w:b/>
          <w:bCs/>
        </w:rPr>
        <w:t xml:space="preserve">active</w:t>
      </w:r>
    </w:p>
    <w:p>
      <w:pPr>
        <w:pStyle w:val="Compact"/>
        <w:numPr>
          <w:ilvl w:val="0"/>
          <w:numId w:val="1051"/>
        </w:numPr>
      </w:pPr>
      <w:r>
        <w:rPr>
          <w:b/>
          <w:bCs/>
        </w:rPr>
        <w:t xml:space="preserve">Confidence:</w:t>
      </w:r>
      <w:r>
        <w:t xml:space="preserve"> </w:t>
      </w:r>
      <w:r>
        <w:t xml:space="preserve">low →</w:t>
      </w:r>
      <w:r>
        <w:t xml:space="preserve"> </w:t>
      </w:r>
      <w:r>
        <w:rPr>
          <w:b/>
          <w:bCs/>
        </w:rPr>
        <w:t xml:space="preserve">high</w:t>
      </w:r>
      <w:r>
        <w:t xml:space="preserve"> </w:t>
      </w:r>
      <w:r>
        <w:t xml:space="preserve">(pending first full-year completion cycle)</w:t>
      </w:r>
    </w:p>
    <w:p>
      <w:pPr>
        <w:pStyle w:val="Compact"/>
        <w:numPr>
          <w:ilvl w:val="0"/>
          <w:numId w:val="1051"/>
        </w:numPr>
      </w:pPr>
      <w:r>
        <w:rPr>
          <w:b/>
          <w:bCs/>
        </w:rPr>
        <w:t xml:space="preserve">Internal KSI rule-set coverage:</w:t>
      </w:r>
      <w:r>
        <w:t xml:space="preserve"> </w:t>
      </w:r>
      <w:r>
        <w:t xml:space="preserve">28/29 →</w:t>
      </w:r>
      <w:r>
        <w:t xml:space="preserve"> </w:t>
      </w:r>
      <w:r>
        <w:rPr>
          <w:b/>
          <w:bCs/>
        </w:rPr>
        <w:t xml:space="preserve">29/29 active</w:t>
      </w:r>
      <w:r>
        <w:t xml:space="preserve"> </w:t>
      </w:r>
      <w:r>
        <w:t xml:space="preserve">— all 29</w:t>
      </w:r>
      <w:r>
        <w:t xml:space="preserve"> </w:t>
      </w:r>
      <w:r>
        <w:t xml:space="preserve">internal rules are now evaluable (this is the series’ internal KSI</w:t>
      </w:r>
      <w:r>
        <w:t xml:space="preserve"> </w:t>
      </w:r>
      <w:r>
        <w:t xml:space="preserve">decomposition,</w:t>
      </w:r>
      <w:r>
        <w:t xml:space="preserve"> </w:t>
      </w:r>
      <w:r>
        <w:rPr>
          <w:b/>
          <w:bCs/>
        </w:rPr>
        <w:t xml:space="preserve">not</w:t>
      </w:r>
      <w:r>
        <w:t xml:space="preserve"> </w:t>
      </w:r>
      <w:r>
        <w:t xml:space="preserve">the CR26 Moderate indicator catalog).</w:t>
      </w:r>
    </w:p>
    <w:p>
      <w:pPr>
        <w:pStyle w:val="Compact"/>
        <w:numPr>
          <w:ilvl w:val="0"/>
          <w:numId w:val="1051"/>
        </w:numPr>
      </w:pPr>
      <w:r>
        <w:rPr>
          <w:b/>
          <w:bCs/>
        </w:rPr>
        <w:t xml:space="preserve">CR26 indicator coverage:</w:t>
      </w:r>
      <w:r>
        <w:t xml:space="preserve"> </w:t>
      </w:r>
      <w:r>
        <w:rPr>
          <w:b/>
          <w:bCs/>
        </w:rPr>
        <w:t xml:space="preserve">19 of 46</w:t>
      </w:r>
      <w:r>
        <w:t xml:space="preserve"> </w:t>
      </w:r>
      <w:r>
        <w:t xml:space="preserve">CR26 indicators explicitly mapped 1:1</w:t>
      </w:r>
      <w:r>
        <w:t xml:space="preserve"> </w:t>
      </w:r>
      <w:r>
        <w:t xml:space="preserve">to an internal rule (themes CMT · PIY · SCR · CED · INR · RPL fully mapped);</w:t>
      </w:r>
      <w:r>
        <w:t xml:space="preserve"> </w:t>
      </w:r>
      <w:r>
        <w:t xml:space="preserve">the remaining</w:t>
      </w:r>
      <w:r>
        <w:t xml:space="preserve"> </w:t>
      </w:r>
      <w:r>
        <w:rPr>
          <w:b/>
          <w:bCs/>
        </w:rPr>
        <w:t xml:space="preserve">27</w:t>
      </w:r>
      <w:r>
        <w:t xml:space="preserve"> </w:t>
      </w:r>
      <w:r>
        <w:t xml:space="preserve">indicators (IAM · CNA · SVC · MLA) are attested at the</w:t>
      </w:r>
      <w:r>
        <w:t xml:space="preserve"> </w:t>
      </w:r>
      <w:r>
        <w:t xml:space="preserve">CISA ScuBA baseline level only, not yet bound to a CR26 indicator ID. See</w:t>
      </w:r>
      <w:r>
        <w:t xml:space="preserve"> </w:t>
      </w:r>
      <w:r>
        <w:rPr>
          <w:rStyle w:val="VerbatimChar"/>
        </w:rPr>
        <w:t xml:space="preserve">Compliance_CR26_Reconciliation.md</w:t>
      </w:r>
      <w:r>
        <w:t xml:space="preserve">.</w:t>
      </w:r>
    </w:p>
    <w:p>
      <w:pPr>
        <w:pStyle w:val="FirstParagraph"/>
      </w:pPr>
      <w:r>
        <w:rPr>
          <w:b/>
          <w:bCs/>
        </w:rPr>
        <w:t xml:space="preserve">This makes all 29 internal KSI rules active/evaluable; it does not complete</w:t>
      </w:r>
      <w:r>
        <w:rPr>
          <w:b/>
          <w:bCs/>
        </w:rPr>
        <w:t xml:space="preserve"> </w:t>
      </w:r>
      <w:r>
        <w:rPr>
          <w:b/>
          <w:bCs/>
        </w:rPr>
        <w:t xml:space="preserve">CR26 indicator coverage</w:t>
      </w:r>
      <w:r>
        <w:t xml:space="preserve"> </w:t>
      </w:r>
      <w:r>
        <w:t xml:space="preserve">— that stands at 19/46, with 27 indicators pending</w:t>
      </w:r>
      <w:r>
        <w:t xml:space="preserve"> </w:t>
      </w:r>
      <w:r>
        <w:t xml:space="preserve">reconciliation to the finalized CR26 Moderate list and independent SCA. The</w:t>
      </w:r>
      <w:r>
        <w:t xml:space="preserve"> </w:t>
      </w:r>
      <w:r>
        <w:t xml:space="preserve">eleven-volume Federal Compliance series is</w:t>
      </w:r>
      <w:r>
        <w:t xml:space="preserve"> </w:t>
      </w:r>
      <w:r>
        <w:rPr>
          <w:b/>
          <w:bCs/>
        </w:rPr>
        <w:t xml:space="preserve">self-assessed against</w:t>
      </w:r>
      <w:r>
        <w:rPr>
          <w:b/>
          <w:bCs/>
        </w:rPr>
        <w:t xml:space="preserve"> </w:t>
      </w:r>
      <w:r>
        <w:rPr>
          <w:b/>
          <w:bCs/>
        </w:rPr>
        <w:t xml:space="preserve">the series’ internal KSI decomposition</w:t>
      </w:r>
      <w:r>
        <w:t xml:space="preserve"> </w:t>
      </w:r>
      <w:r>
        <w:t xml:space="preserve">— pending CR26 reconciliation and</w:t>
      </w:r>
      <w:r>
        <w:t xml:space="preserve"> </w:t>
      </w:r>
      <w:r>
        <w:t xml:space="preserve">independent SCA.</w:t>
      </w:r>
    </w:p>
    <w:bookmarkEnd w:id="212"/>
    <w:bookmarkStart w:id="213" w:name="series-completion-summary"/>
    <w:p>
      <w:pPr>
        <w:pStyle w:val="Heading2"/>
      </w:pPr>
      <w:r>
        <w:t xml:space="preserve">Series Completion Summary</w:t>
      </w:r>
    </w:p>
    <w:p>
      <w:pPr>
        <w:pStyle w:val="TableCaption"/>
      </w:pPr>
      <w:r>
        <w:t xml:space="preserve">Compliance Series — Volumes I–IV Control-Closure Summary as of This Book</w:t>
      </w:r>
    </w:p>
    <w:tbl>
      <w:tblPr>
        <w:tblStyle w:val="Table"/>
        <w:tblW w:type="pct" w:w="5000"/>
        <w:tblLayout w:type="fixed"/>
        <w:tblLook w:firstRow="1" w:lastRow="0" w:firstColumn="0" w:lastColumn="0" w:noHBand="0" w:noVBand="0" w:val="0020"/>
        <w:tblCaption w:val="Compliance Series — Volumes I–IV Control-Closure Summary as of This Book"/>
      </w:tblPr>
      <w:tblGrid>
        <w:gridCol w:w="1033"/>
        <w:gridCol w:w="1377"/>
        <w:gridCol w:w="2754"/>
        <w:gridCol w:w="2754"/>
      </w:tblGrid>
      <w:tr>
        <w:trPr>
          <w:tblHeader w:val="on"/>
        </w:trPr>
        <w:tc>
          <w:tcPr/>
          <w:p>
            <w:pPr>
              <w:pStyle w:val="Compact"/>
            </w:pPr>
            <w:r>
              <w:t xml:space="preserve">Book</w:t>
            </w:r>
          </w:p>
        </w:tc>
        <w:tc>
          <w:tcPr/>
          <w:p>
            <w:pPr>
              <w:pStyle w:val="Compact"/>
            </w:pPr>
            <w:r>
              <w:t xml:space="preserve">Domain</w:t>
            </w:r>
          </w:p>
        </w:tc>
        <w:tc>
          <w:tcPr/>
          <w:p>
            <w:pPr>
              <w:pStyle w:val="Compact"/>
            </w:pPr>
            <w:r>
              <w:t xml:space="preserve">Controls Closed</w:t>
            </w:r>
          </w:p>
        </w:tc>
        <w:tc>
          <w:tcPr/>
          <w:p>
            <w:pPr>
              <w:pStyle w:val="Compact"/>
            </w:pPr>
            <w:r>
              <w:t xml:space="preserve">KSIs Activated</w:t>
            </w:r>
          </w:p>
        </w:tc>
      </w:tr>
      <w:tr>
        <w:tc>
          <w:tcPr/>
          <w:p>
            <w:pPr>
              <w:pStyle w:val="Compact"/>
            </w:pPr>
            <w:r>
              <w:t xml:space="preserve">Vol I Book 01</w:t>
            </w:r>
          </w:p>
        </w:tc>
        <w:tc>
          <w:tcPr/>
          <w:p>
            <w:pPr>
              <w:pStyle w:val="Compact"/>
            </w:pPr>
            <w:r>
              <w:t xml:space="preserve">InfoBlox DDI Landing Zone</w:t>
            </w:r>
          </w:p>
        </w:tc>
        <w:tc>
          <w:tcPr/>
          <w:p>
            <w:pPr>
              <w:pStyle w:val="Compact"/>
            </w:pPr>
            <w:r>
              <w:t xml:space="preserve">16</w:t>
            </w:r>
          </w:p>
        </w:tc>
        <w:tc>
          <w:tcPr/>
          <w:p>
            <w:pPr>
              <w:pStyle w:val="Compact"/>
            </w:pPr>
            <w:r>
              <w:t xml:space="preserve">IAM, MLA, SVC (addressing)</w:t>
            </w:r>
          </w:p>
        </w:tc>
      </w:tr>
      <w:tr>
        <w:tc>
          <w:tcPr/>
          <w:p>
            <w:pPr>
              <w:pStyle w:val="Compact"/>
            </w:pPr>
            <w:r>
              <w:t xml:space="preserve">Vol I Book 06</w:t>
            </w:r>
          </w:p>
        </w:tc>
        <w:tc>
          <w:tcPr/>
          <w:p>
            <w:pPr>
              <w:pStyle w:val="Compact"/>
            </w:pPr>
            <w:r>
              <w:t xml:space="preserve">Telecommunications (SD-WAN/SASE)</w:t>
            </w:r>
          </w:p>
        </w:tc>
        <w:tc>
          <w:tcPr/>
          <w:p>
            <w:pPr>
              <w:pStyle w:val="Compact"/>
            </w:pPr>
            <w:r>
              <w:t xml:space="preserve">7</w:t>
            </w:r>
          </w:p>
        </w:tc>
        <w:tc>
          <w:tcPr/>
          <w:p>
            <w:pPr>
              <w:pStyle w:val="Compact"/>
            </w:pPr>
            <w:r>
              <w:t xml:space="preserve">SVC (boundary), MLA</w:t>
            </w:r>
          </w:p>
        </w:tc>
      </w:tr>
      <w:tr>
        <w:tc>
          <w:tcPr/>
          <w:p>
            <w:pPr>
              <w:pStyle w:val="Compact"/>
            </w:pPr>
            <w:r>
              <w:t xml:space="preserve">Vol I Book 05</w:t>
            </w:r>
          </w:p>
        </w:tc>
        <w:tc>
          <w:tcPr/>
          <w:p>
            <w:pPr>
              <w:pStyle w:val="Compact"/>
            </w:pPr>
            <w:r>
              <w:t xml:space="preserve">Network and Identity Modernization</w:t>
            </w:r>
          </w:p>
        </w:tc>
        <w:tc>
          <w:tcPr/>
          <w:p>
            <w:pPr>
              <w:pStyle w:val="Compact"/>
            </w:pPr>
            <w:r>
              <w:t xml:space="preserve">12</w:t>
            </w:r>
          </w:p>
        </w:tc>
        <w:tc>
          <w:tcPr/>
          <w:p>
            <w:pPr>
              <w:pStyle w:val="Compact"/>
            </w:pPr>
            <w:r>
              <w:t xml:space="preserve">IAM, SVC (network)</w:t>
            </w:r>
          </w:p>
        </w:tc>
      </w:tr>
      <w:tr>
        <w:tc>
          <w:tcPr/>
          <w:p>
            <w:pPr>
              <w:pStyle w:val="Compact"/>
            </w:pPr>
            <w:r>
              <w:t xml:space="preserve">Vol II Books 01–02</w:t>
            </w:r>
          </w:p>
        </w:tc>
        <w:tc>
          <w:tcPr/>
          <w:p>
            <w:pPr>
              <w:pStyle w:val="Compact"/>
            </w:pPr>
            <w:r>
              <w:t xml:space="preserve">SQL Server Authentication</w:t>
            </w:r>
          </w:p>
        </w:tc>
        <w:tc>
          <w:tcPr/>
          <w:p>
            <w:pPr>
              <w:pStyle w:val="Compact"/>
            </w:pPr>
            <w:r>
              <w:t xml:space="preserve">auth surface</w:t>
            </w:r>
          </w:p>
        </w:tc>
        <w:tc>
          <w:tcPr/>
          <w:p>
            <w:pPr>
              <w:pStyle w:val="Compact"/>
            </w:pPr>
            <w:r>
              <w:t xml:space="preserve">IAM (SQL tier)</w:t>
            </w:r>
          </w:p>
        </w:tc>
      </w:tr>
      <w:tr>
        <w:tc>
          <w:tcPr/>
          <w:p>
            <w:pPr>
              <w:pStyle w:val="Compact"/>
            </w:pPr>
            <w:r>
              <w:t xml:space="preserve">Vol II Book 03</w:t>
            </w:r>
          </w:p>
        </w:tc>
        <w:tc>
          <w:tcPr/>
          <w:p>
            <w:pPr>
              <w:pStyle w:val="Compact"/>
            </w:pPr>
            <w:r>
              <w:t xml:space="preserve">Database Architecture and Network Physics</w:t>
            </w:r>
          </w:p>
        </w:tc>
        <w:tc>
          <w:tcPr/>
          <w:p>
            <w:pPr>
              <w:pStyle w:val="Compact"/>
            </w:pPr>
            <w:r>
              <w:t xml:space="preserve">7</w:t>
            </w:r>
          </w:p>
        </w:tc>
        <w:tc>
          <w:tcPr/>
          <w:p>
            <w:pPr>
              <w:pStyle w:val="Compact"/>
            </w:pPr>
            <w:r>
              <w:t xml:space="preserve">SVC (data)</w:t>
            </w:r>
          </w:p>
        </w:tc>
      </w:tr>
      <w:tr>
        <w:tc>
          <w:tcPr/>
          <w:p>
            <w:pPr>
              <w:pStyle w:val="Compact"/>
            </w:pPr>
            <w:r>
              <w:t xml:space="preserve">Vol III Book 01</w:t>
            </w:r>
          </w:p>
        </w:tc>
        <w:tc>
          <w:tcPr/>
          <w:p>
            <w:pPr>
              <w:pStyle w:val="Compact"/>
            </w:pPr>
            <w:r>
              <w:t xml:space="preserve">Privileged Access Management</w:t>
            </w:r>
          </w:p>
        </w:tc>
        <w:tc>
          <w:tcPr/>
          <w:p>
            <w:pPr>
              <w:pStyle w:val="Compact"/>
            </w:pPr>
            <w:r>
              <w:t xml:space="preserve">AC-5/6/11/12, IA-11</w:t>
            </w:r>
          </w:p>
        </w:tc>
        <w:tc>
          <w:tcPr/>
          <w:p>
            <w:pPr>
              <w:pStyle w:val="Compact"/>
            </w:pPr>
            <w:r>
              <w:t xml:space="preserve">IAM-ELP</w:t>
            </w:r>
          </w:p>
        </w:tc>
      </w:tr>
      <w:tr>
        <w:tc>
          <w:tcPr/>
          <w:p>
            <w:pPr>
              <w:pStyle w:val="Compact"/>
            </w:pPr>
            <w:r>
              <w:t xml:space="preserve">Vol III Book 02</w:t>
            </w:r>
          </w:p>
        </w:tc>
        <w:tc>
          <w:tcPr/>
          <w:p>
            <w:pPr>
              <w:pStyle w:val="Compact"/>
            </w:pPr>
            <w:r>
              <w:t xml:space="preserve">Vulnerability Management</w:t>
            </w:r>
          </w:p>
        </w:tc>
        <w:tc>
          <w:tcPr/>
          <w:p>
            <w:pPr>
              <w:pStyle w:val="Compact"/>
            </w:pPr>
            <w:r>
              <w:t xml:space="preserve">RA-5, SI-2, CM-7</w:t>
            </w:r>
          </w:p>
        </w:tc>
        <w:tc>
          <w:tcPr/>
          <w:p>
            <w:pPr>
              <w:pStyle w:val="Compact"/>
            </w:pPr>
            <w:r>
              <w:t xml:space="preserve">MLA-ALA, SVC</w:t>
            </w:r>
          </w:p>
        </w:tc>
      </w:tr>
      <w:tr>
        <w:tc>
          <w:tcPr/>
          <w:p>
            <w:pPr>
              <w:pStyle w:val="Compact"/>
            </w:pPr>
            <w:r>
              <w:t xml:space="preserve">Vol III Book 05</w:t>
            </w:r>
          </w:p>
        </w:tc>
        <w:tc>
          <w:tcPr/>
          <w:p>
            <w:pPr>
              <w:pStyle w:val="Compact"/>
            </w:pPr>
            <w:r>
              <w:t xml:space="preserve">Data Protection and Purview</w:t>
            </w:r>
          </w:p>
        </w:tc>
        <w:tc>
          <w:tcPr/>
          <w:p>
            <w:pPr>
              <w:pStyle w:val="Compact"/>
            </w:pPr>
            <w:r>
              <w:t xml:space="preserve">MP, SC-12/13/28</w:t>
            </w:r>
          </w:p>
        </w:tc>
        <w:tc>
          <w:tcPr/>
          <w:p>
            <w:pPr>
              <w:pStyle w:val="Compact"/>
            </w:pPr>
            <w:r>
              <w:t xml:space="preserve">SVC (data protection)</w:t>
            </w:r>
          </w:p>
        </w:tc>
      </w:tr>
      <w:tr>
        <w:tc>
          <w:tcPr/>
          <w:p>
            <w:pPr>
              <w:pStyle w:val="Compact"/>
            </w:pPr>
            <w:r>
              <w:t xml:space="preserve">Vol III Book 06</w:t>
            </w:r>
          </w:p>
        </w:tc>
        <w:tc>
          <w:tcPr/>
          <w:p>
            <w:pPr>
              <w:pStyle w:val="Compact"/>
            </w:pPr>
            <w:r>
              <w:t xml:space="preserve">SIEM / XDR / Detection Engineering</w:t>
            </w:r>
          </w:p>
        </w:tc>
        <w:tc>
          <w:tcPr/>
          <w:p>
            <w:pPr>
              <w:pStyle w:val="Compact"/>
            </w:pPr>
            <w:r>
              <w:t xml:space="preserve">AU-6/7/8, SI-4, IR-4/6/8</w:t>
            </w:r>
          </w:p>
        </w:tc>
        <w:tc>
          <w:tcPr/>
          <w:p>
            <w:pPr>
              <w:pStyle w:val="Compact"/>
            </w:pPr>
            <w:r>
              <w:t xml:space="preserve">MLA (primary)</w:t>
            </w:r>
          </w:p>
        </w:tc>
      </w:tr>
      <w:tr>
        <w:tc>
          <w:tcPr/>
          <w:p>
            <w:pPr>
              <w:pStyle w:val="Compact"/>
            </w:pPr>
            <w:r>
              <w:t xml:space="preserve">Vol IV Book 01</w:t>
            </w:r>
          </w:p>
        </w:tc>
        <w:tc>
          <w:tcPr/>
          <w:p>
            <w:pPr>
              <w:pStyle w:val="Compact"/>
            </w:pPr>
            <w:r>
              <w:t xml:space="preserve">Business Continuity</w:t>
            </w:r>
          </w:p>
        </w:tc>
        <w:tc>
          <w:tcPr/>
          <w:p>
            <w:pPr>
              <w:pStyle w:val="Compact"/>
            </w:pPr>
            <w:r>
              <w:t xml:space="preserve">CP-2 through CP-10</w:t>
            </w:r>
          </w:p>
        </w:tc>
        <w:tc>
          <w:tcPr/>
          <w:p>
            <w:pPr>
              <w:pStyle w:val="Compact"/>
            </w:pPr>
            <w:r>
              <w:t xml:space="preserve">RPL</w:t>
            </w:r>
          </w:p>
        </w:tc>
      </w:tr>
      <w:tr>
        <w:tc>
          <w:tcPr/>
          <w:p>
            <w:pPr>
              <w:pStyle w:val="Compact"/>
            </w:pPr>
            <w:r>
              <w:t xml:space="preserve">Vol IV Book 02</w:t>
            </w:r>
          </w:p>
        </w:tc>
        <w:tc>
          <w:tcPr/>
          <w:p>
            <w:pPr>
              <w:pStyle w:val="Compact"/>
            </w:pPr>
            <w:r>
              <w:t xml:space="preserve">Supply Chain Risk Management</w:t>
            </w:r>
          </w:p>
        </w:tc>
        <w:tc>
          <w:tcPr/>
          <w:p>
            <w:pPr>
              <w:pStyle w:val="Compact"/>
            </w:pPr>
            <w:r>
              <w:t xml:space="preserve">SR-1 through SR-11</w:t>
            </w:r>
          </w:p>
        </w:tc>
        <w:tc>
          <w:tcPr/>
          <w:p>
            <w:pPr>
              <w:pStyle w:val="Compact"/>
            </w:pPr>
            <w:r>
              <w:t xml:space="preserve">SCR-MIT, SCR-MON</w:t>
            </w:r>
          </w:p>
        </w:tc>
      </w:tr>
      <w:tr>
        <w:tc>
          <w:tcPr/>
          <w:p>
            <w:pPr>
              <w:pStyle w:val="Compact"/>
            </w:pPr>
            <w:r>
              <w:t xml:space="preserve">Vol IV Book 03</w:t>
            </w:r>
          </w:p>
        </w:tc>
        <w:tc>
          <w:tcPr/>
          <w:p>
            <w:pPr>
              <w:pStyle w:val="Compact"/>
            </w:pPr>
            <w:r>
              <w:t xml:space="preserve">Program Management and Governance</w:t>
            </w:r>
          </w:p>
        </w:tc>
        <w:tc>
          <w:tcPr/>
          <w:p>
            <w:pPr>
              <w:pStyle w:val="Compact"/>
            </w:pPr>
            <w:r>
              <w:t xml:space="preserve">PM-1/2/5/7/9/11/14/15/30</w:t>
            </w:r>
          </w:p>
        </w:tc>
        <w:tc>
          <w:tcPr/>
          <w:p>
            <w:pPr>
              <w:pStyle w:val="Compact"/>
            </w:pPr>
            <w:r>
              <w:t xml:space="preserve">SCR (governance)</w:t>
            </w:r>
          </w:p>
        </w:tc>
      </w:tr>
      <w:tr>
        <w:tc>
          <w:tcPr/>
          <w:p>
            <w:pPr>
              <w:pStyle w:val="Compact"/>
            </w:pPr>
            <w:r>
              <w:t xml:space="preserve">Vol IV Book 04</w:t>
            </w:r>
          </w:p>
        </w:tc>
        <w:tc>
          <w:tcPr/>
          <w:p>
            <w:pPr>
              <w:pStyle w:val="Compact"/>
            </w:pPr>
            <w:r>
              <w:t xml:space="preserve">PII Processing and Transparency</w:t>
            </w:r>
          </w:p>
        </w:tc>
        <w:tc>
          <w:tcPr/>
          <w:p>
            <w:pPr>
              <w:pStyle w:val="Compact"/>
            </w:pPr>
            <w:r>
              <w:t xml:space="preserve">PT-1 through PT-7</w:t>
            </w:r>
          </w:p>
        </w:tc>
        <w:tc>
          <w:tcPr/>
          <w:p>
            <w:pPr>
              <w:pStyle w:val="Compact"/>
            </w:pPr>
            <w:r>
              <w:t xml:space="preserve">PIY-RSD</w:t>
            </w:r>
          </w:p>
        </w:tc>
      </w:tr>
      <w:tr>
        <w:tc>
          <w:tcPr/>
          <w:p>
            <w:pPr>
              <w:pStyle w:val="Compact"/>
            </w:pPr>
            <w:r>
              <w:t xml:space="preserve">Vol IV Book 05</w:t>
            </w:r>
          </w:p>
        </w:tc>
        <w:tc>
          <w:tcPr/>
          <w:p>
            <w:pPr>
              <w:pStyle w:val="Compact"/>
            </w:pPr>
            <w:r>
              <w:t xml:space="preserve">Cybersecurity Training and Awareness</w:t>
            </w:r>
          </w:p>
        </w:tc>
        <w:tc>
          <w:tcPr/>
          <w:p>
            <w:pPr>
              <w:pStyle w:val="Compact"/>
            </w:pPr>
            <w:r>
              <w:t xml:space="preserve">AT-2/3/4, CP-3, IR-2</w:t>
            </w:r>
          </w:p>
        </w:tc>
        <w:tc>
          <w:tcPr/>
          <w:p>
            <w:pPr>
              <w:pStyle w:val="Compact"/>
            </w:pPr>
            <w:r>
              <w:rPr>
                <w:b/>
                <w:bCs/>
              </w:rPr>
              <w:t xml:space="preserve">CED-RAT</w:t>
            </w:r>
          </w:p>
        </w:tc>
      </w:tr>
    </w:tbl>
    <w:p>
      <w:r>
        <w:pict>
          <v:rect style="width:0;height:1.5pt" o:hralign="center" o:hrstd="t" o:hr="t"/>
        </w:pict>
      </w:r>
    </w:p>
    <w:bookmarkEnd w:id="213"/>
    <w:bookmarkEnd w:id="214"/>
    <w:bookmarkStart w:id="219" w:name="implementation-checklist-1"/>
    <w:p>
      <w:pPr>
        <w:pStyle w:val="Heading1"/>
      </w:pPr>
      <w:r>
        <w:t xml:space="preserve">Implementation Checklist</w:t>
      </w:r>
    </w:p>
    <w:bookmarkStart w:id="215" w:name="phase-1-program-setup-weeks-14"/>
    <w:p>
      <w:pPr>
        <w:pStyle w:val="Heading2"/>
      </w:pPr>
      <w:r>
        <w:t xml:space="preserve">Phase 1 — Program Setup (Weeks 1–4)</w:t>
      </w:r>
    </w:p>
    <w:p>
      <w:pPr>
        <w:pStyle w:val="Compact"/>
        <w:numPr>
          <w:ilvl w:val="0"/>
          <w:numId w:val="1052"/>
        </w:numPr>
      </w:pPr>
      <w:r>
        <w:t xml:space="preserve">Designate training program owner (ISSO or delegate)</w:t>
      </w:r>
    </w:p>
    <w:p>
      <w:pPr>
        <w:pStyle w:val="Compact"/>
        <w:numPr>
          <w:ilvl w:val="0"/>
          <w:numId w:val="1053"/>
        </w:numPr>
      </w:pPr>
      <w:r>
        <w:t xml:space="preserve">Select LMS platform (Viva Learning recommended for M365 GCC E3/E5)</w:t>
      </w:r>
    </w:p>
    <w:p>
      <w:pPr>
        <w:pStyle w:val="Compact"/>
        <w:numPr>
          <w:ilvl w:val="0"/>
          <w:numId w:val="1054"/>
        </w:numPr>
      </w:pPr>
      <w:r>
        <w:t xml:space="preserve">Define role tier assignments — map all users to Tier 1–6</w:t>
      </w:r>
    </w:p>
    <w:p>
      <w:pPr>
        <w:pStyle w:val="Compact"/>
        <w:numPr>
          <w:ilvl w:val="0"/>
          <w:numId w:val="1055"/>
        </w:numPr>
      </w:pPr>
      <w:r>
        <w:t xml:space="preserve">Configure Graph API export with</w:t>
      </w:r>
      <w:r>
        <w:t xml:space="preserve"> </w:t>
      </w:r>
      <w:r>
        <w:rPr>
          <w:rStyle w:val="VerbatimChar"/>
        </w:rPr>
        <w:t xml:space="preserve">LearningAssignmentReport.Read.All</w:t>
      </w:r>
    </w:p>
    <w:p>
      <w:pPr>
        <w:pStyle w:val="Compact"/>
        <w:numPr>
          <w:ilvl w:val="0"/>
          <w:numId w:val="1056"/>
        </w:numPr>
      </w:pPr>
      <w:r>
        <w:t xml:space="preserve">Create course library in Viva Learning (or import CISA/DoD content)</w:t>
      </w:r>
    </w:p>
    <w:p>
      <w:pPr>
        <w:pStyle w:val="Compact"/>
        <w:numPr>
          <w:ilvl w:val="0"/>
          <w:numId w:val="1057"/>
        </w:numPr>
      </w:pPr>
      <w:r>
        <w:t xml:space="preserve">Enroll all employees in AT-2 general awareness track</w:t>
      </w:r>
    </w:p>
    <w:bookmarkEnd w:id="215"/>
    <w:bookmarkStart w:id="216" w:name="phase-2-content-and-delivery-weeks-512"/>
    <w:p>
      <w:pPr>
        <w:pStyle w:val="Heading2"/>
      </w:pPr>
      <w:r>
        <w:t xml:space="preserve">Phase 2 — Content and Delivery (Weeks 5–12)</w:t>
      </w:r>
    </w:p>
    <w:p>
      <w:pPr>
        <w:pStyle w:val="Compact"/>
        <w:numPr>
          <w:ilvl w:val="0"/>
          <w:numId w:val="1058"/>
        </w:numPr>
      </w:pPr>
      <w:r>
        <w:t xml:space="preserve">Launch AT-2 general awareness campaign (all employees)</w:t>
      </w:r>
    </w:p>
    <w:p>
      <w:pPr>
        <w:pStyle w:val="Compact"/>
        <w:numPr>
          <w:ilvl w:val="0"/>
          <w:numId w:val="1059"/>
        </w:numPr>
      </w:pPr>
      <w:r>
        <w:t xml:space="preserve">Launch AT-3 Tier 1 (sysadmin) and Tier 3 (developer) tracks — highest priority</w:t>
      </w:r>
    </w:p>
    <w:p>
      <w:pPr>
        <w:pStyle w:val="Compact"/>
        <w:numPr>
          <w:ilvl w:val="0"/>
          <w:numId w:val="1060"/>
        </w:numPr>
      </w:pPr>
      <w:r>
        <w:t xml:space="preserve">Configure phishing simulation platform (Attack Simulator or KnowBe4)</w:t>
      </w:r>
    </w:p>
    <w:p>
      <w:pPr>
        <w:pStyle w:val="Compact"/>
        <w:numPr>
          <w:ilvl w:val="0"/>
          <w:numId w:val="1061"/>
        </w:numPr>
      </w:pPr>
      <w:r>
        <w:t xml:space="preserve">Run first phishing simulation campaign</w:t>
      </w:r>
    </w:p>
    <w:p>
      <w:pPr>
        <w:pStyle w:val="Compact"/>
        <w:numPr>
          <w:ilvl w:val="0"/>
          <w:numId w:val="1062"/>
        </w:numPr>
      </w:pPr>
      <w:r>
        <w:t xml:space="preserve">Deliver first Tier 3 SBOM/Grype hands-on lab</w:t>
      </w:r>
    </w:p>
    <w:p>
      <w:pPr>
        <w:pStyle w:val="Compact"/>
        <w:numPr>
          <w:ilvl w:val="0"/>
          <w:numId w:val="1063"/>
        </w:numPr>
      </w:pPr>
      <w:r>
        <w:t xml:space="preserve">Schedule IR drill with SOC team</w:t>
      </w:r>
    </w:p>
    <w:bookmarkEnd w:id="216"/>
    <w:bookmarkStart w:id="217" w:name="phase-3-evidence-integration-weeks-1316"/>
    <w:p>
      <w:pPr>
        <w:pStyle w:val="Heading2"/>
      </w:pPr>
      <w:r>
        <w:t xml:space="preserve">Phase 3 — Evidence Integration (Weeks 13–16)</w:t>
      </w:r>
    </w:p>
    <w:p>
      <w:pPr>
        <w:pStyle w:val="Compact"/>
        <w:numPr>
          <w:ilvl w:val="0"/>
          <w:numId w:val="1064"/>
        </w:numPr>
      </w:pPr>
      <w:r>
        <w:t xml:space="preserve">Deploy Logic App / Automation Runbook for monthly LMS export</w:t>
      </w:r>
    </w:p>
    <w:p>
      <w:pPr>
        <w:pStyle w:val="Compact"/>
        <w:numPr>
          <w:ilvl w:val="0"/>
          <w:numId w:val="1065"/>
        </w:numPr>
      </w:pPr>
      <w:r>
        <w:t xml:space="preserve">Map Graph API output to</w:t>
      </w:r>
      <w:r>
        <w:t xml:space="preserve"> </w:t>
      </w:r>
      <w:r>
        <w:rPr>
          <w:rStyle w:val="VerbatimChar"/>
        </w:rPr>
        <w:t xml:space="preserve">training-effectiveness-record</w:t>
      </w:r>
      <w:r>
        <w:t xml:space="preserve"> </w:t>
      </w:r>
      <w:r>
        <w:t xml:space="preserve">JSON schema</w:t>
      </w:r>
    </w:p>
    <w:p>
      <w:pPr>
        <w:pStyle w:val="Compact"/>
        <w:numPr>
          <w:ilvl w:val="0"/>
          <w:numId w:val="1066"/>
        </w:numPr>
      </w:pPr>
      <w:r>
        <w:t xml:space="preserve">Integrate export into governance substrate</w:t>
      </w:r>
    </w:p>
    <w:p>
      <w:pPr>
        <w:pStyle w:val="Compact"/>
        <w:numPr>
          <w:ilvl w:val="0"/>
          <w:numId w:val="1067"/>
        </w:numPr>
      </w:pPr>
      <w:r>
        <w:t xml:space="preserve">Validate KSI-022 query returns PASS on first ingested record</w:t>
      </w:r>
    </w:p>
    <w:p>
      <w:pPr>
        <w:pStyle w:val="Compact"/>
        <w:numPr>
          <w:ilvl w:val="0"/>
          <w:numId w:val="1068"/>
        </w:numPr>
      </w:pPr>
      <w:r>
        <w:t xml:space="preserve">Archive first tabletop after-action report in governance record store</w:t>
      </w:r>
    </w:p>
    <w:bookmarkEnd w:id="217"/>
    <w:bookmarkStart w:id="218" w:name="phase-4-steady-state-ongoing"/>
    <w:p>
      <w:pPr>
        <w:pStyle w:val="Heading2"/>
      </w:pPr>
      <w:r>
        <w:t xml:space="preserve">Phase 4 — Steady State (Ongoing)</w:t>
      </w:r>
    </w:p>
    <w:p>
      <w:pPr>
        <w:pStyle w:val="Compact"/>
        <w:numPr>
          <w:ilvl w:val="0"/>
          <w:numId w:val="1069"/>
        </w:numPr>
      </w:pPr>
      <w:r>
        <w:t xml:space="preserve">Monthly LMS export running and ingesting automatically</w:t>
      </w:r>
    </w:p>
    <w:p>
      <w:pPr>
        <w:pStyle w:val="Compact"/>
        <w:numPr>
          <w:ilvl w:val="0"/>
          <w:numId w:val="1070"/>
        </w:numPr>
      </w:pPr>
      <w:r>
        <w:t xml:space="preserve">Quarterly phishing simulation campaigns on calendar</w:t>
      </w:r>
    </w:p>
    <w:p>
      <w:pPr>
        <w:pStyle w:val="Compact"/>
        <w:numPr>
          <w:ilvl w:val="0"/>
          <w:numId w:val="1071"/>
        </w:numPr>
      </w:pPr>
      <w:r>
        <w:t xml:space="preserve">Semi-annual IR drill scheduled for H1 and H2</w:t>
      </w:r>
    </w:p>
    <w:p>
      <w:pPr>
        <w:pStyle w:val="Compact"/>
        <w:numPr>
          <w:ilvl w:val="0"/>
          <w:numId w:val="1072"/>
        </w:numPr>
      </w:pPr>
      <w:r>
        <w:t xml:space="preserve">Annual tabletop calendar set (Q1–Q4 per CP-3 schedule)</w:t>
      </w:r>
    </w:p>
    <w:p>
      <w:pPr>
        <w:pStyle w:val="Compact"/>
        <w:numPr>
          <w:ilvl w:val="0"/>
          <w:numId w:val="1073"/>
        </w:numPr>
      </w:pPr>
      <w:r>
        <w:t xml:space="preserve">ISSO reviews training-effectiveness-record quarterly dashboard</w:t>
      </w:r>
    </w:p>
    <w:p>
      <w:pPr>
        <w:pStyle w:val="Compact"/>
        <w:numPr>
          <w:ilvl w:val="0"/>
          <w:numId w:val="1074"/>
        </w:numPr>
      </w:pPr>
      <w:r>
        <w:t xml:space="preserve">Annual AT-2 content refresh cycle (update for emerging threats)</w:t>
      </w:r>
    </w:p>
    <w:p>
      <w:r>
        <w:pict>
          <v:rect style="width:0;height:1.5pt" o:hralign="center" o:hrstd="t" o:hr="t"/>
        </w:pict>
      </w:r>
    </w:p>
    <w:bookmarkEnd w:id="218"/>
    <w:bookmarkEnd w:id="219"/>
    <w:bookmarkStart w:id="221" w:name="document-references"/>
    <w:p>
      <w:pPr>
        <w:pStyle w:val="Heading1"/>
      </w:pPr>
      <w:r>
        <w:t xml:space="preserve">Document References</w:t>
      </w:r>
    </w:p>
    <w:tbl>
      <w:tblPr>
        <w:tblStyle w:val="Table"/>
        <w:tblW w:type="pct" w:w="5000"/>
        <w:tblLayout w:type="fixed"/>
        <w:tblLook w:firstRow="1" w:lastRow="0" w:firstColumn="0" w:lastColumn="0" w:noHBand="0" w:noVBand="0" w:val="0020"/>
      </w:tblPr>
      <w:tblGrid>
        <w:gridCol w:w="3443"/>
        <w:gridCol w:w="4476"/>
      </w:tblGrid>
      <w:tr>
        <w:trPr>
          <w:tblHeader w:val="on"/>
        </w:trPr>
        <w:tc>
          <w:tcPr/>
          <w:p>
            <w:pPr>
              <w:pStyle w:val="Compact"/>
            </w:pPr>
            <w:r>
              <w:t xml:space="preserve">Document</w:t>
            </w:r>
          </w:p>
        </w:tc>
        <w:tc>
          <w:tcPr/>
          <w:p>
            <w:pPr>
              <w:pStyle w:val="Compact"/>
            </w:pPr>
            <w:r>
              <w:t xml:space="preserve">Description</w:t>
            </w:r>
          </w:p>
        </w:tc>
      </w:tr>
      <w:tr>
        <w:tc>
          <w:tcPr/>
          <w:p>
            <w:pPr>
              <w:pStyle w:val="Compact"/>
            </w:pPr>
            <w:r>
              <w:t xml:space="preserve">Compliance — Agency Landing Zone IPAM / FedRAMP</w:t>
            </w:r>
          </w:p>
        </w:tc>
        <w:tc>
          <w:tcPr/>
          <w:p>
            <w:pPr>
              <w:pStyle w:val="Compact"/>
            </w:pPr>
            <w:r>
              <w:t xml:space="preserve">Vol I Book 01: InfoBlox DDI, four-environment landing zone, NIST control mapping, FedRAMP 20x KSI evidence</w:t>
            </w:r>
          </w:p>
        </w:tc>
      </w:tr>
      <w:tr>
        <w:tc>
          <w:tcPr/>
          <w:p>
            <w:pPr>
              <w:pStyle w:val="Compact"/>
            </w:pPr>
            <w:r>
              <w:t xml:space="preserve">Compliance — Federal Telecommunications Modernization</w:t>
            </w:r>
          </w:p>
        </w:tc>
        <w:tc>
          <w:tcPr/>
          <w:p>
            <w:pPr>
              <w:pStyle w:val="Compact"/>
            </w:pPr>
            <w:r>
              <w:t xml:space="preserve">Vol I Book 06: Amazon Connect, Teams Phone, SD-WAN/SASE, G.114 compliance</w:t>
            </w:r>
          </w:p>
        </w:tc>
      </w:tr>
      <w:tr>
        <w:tc>
          <w:tcPr/>
          <w:p>
            <w:pPr>
              <w:pStyle w:val="Compact"/>
            </w:pPr>
            <w:r>
              <w:t xml:space="preserve">Compliance — Network Modernization</w:t>
            </w:r>
          </w:p>
        </w:tc>
        <w:tc>
          <w:tcPr/>
          <w:p>
            <w:pPr>
              <w:pStyle w:val="Compact"/>
            </w:pPr>
            <w:r>
              <w:t xml:space="preserve">Vol I Book 05: AD-to-Entra migration, ZTNA, Drift Reconciliation, FedRAMP 20x alignment</w:t>
            </w:r>
          </w:p>
        </w:tc>
      </w:tr>
      <w:tr>
        <w:tc>
          <w:tcPr/>
          <w:p>
            <w:pPr>
              <w:pStyle w:val="Compact"/>
            </w:pPr>
            <w:r>
              <w:t xml:space="preserve">Compliance — SQL Server Authentication Modernization</w:t>
            </w:r>
          </w:p>
        </w:tc>
        <w:tc>
          <w:tcPr/>
          <w:p>
            <w:pPr>
              <w:pStyle w:val="Compact"/>
            </w:pPr>
            <w:r>
              <w:t xml:space="preserve">Vol II Book 01: Arc Managed Identity, Kerberos/NTLM elimination, login migration</w:t>
            </w:r>
          </w:p>
        </w:tc>
      </w:tr>
      <w:tr>
        <w:tc>
          <w:tcPr/>
          <w:p>
            <w:pPr>
              <w:pStyle w:val="Compact"/>
            </w:pPr>
            <w:r>
              <w:t xml:space="preserve">Compliance — SQL Server Implementation Guide</w:t>
            </w:r>
          </w:p>
        </w:tc>
        <w:tc>
          <w:tcPr/>
          <w:p>
            <w:pPr>
              <w:pStyle w:val="Compact"/>
            </w:pPr>
            <w:r>
              <w:t xml:space="preserve">Vol II Book 02: 10-book runbook — estate discovery, Arc deployment, monitoring</w:t>
            </w:r>
          </w:p>
        </w:tc>
      </w:tr>
      <w:tr>
        <w:tc>
          <w:tcPr/>
          <w:p>
            <w:pPr>
              <w:pStyle w:val="Compact"/>
            </w:pPr>
            <w:r>
              <w:t xml:space="preserve">Compliance — Database Consolidation and Network Physics</w:t>
            </w:r>
          </w:p>
        </w:tc>
        <w:tc>
          <w:tcPr/>
          <w:p>
            <w:pPr>
              <w:pStyle w:val="Compact"/>
            </w:pPr>
            <w:r>
              <w:t xml:space="preserve">Vol II Book 03: SSOT architecture, speed-of-light floor, SD-WAN for database traffic</w:t>
            </w:r>
          </w:p>
        </w:tc>
      </w:tr>
      <w:tr>
        <w:tc>
          <w:tcPr/>
          <w:p>
            <w:pPr>
              <w:pStyle w:val="Compact"/>
            </w:pPr>
            <w:r>
              <w:t xml:space="preserve">Compliance — Privileged Access Management</w:t>
            </w:r>
          </w:p>
        </w:tc>
        <w:tc>
          <w:tcPr/>
          <w:p>
            <w:pPr>
              <w:pStyle w:val="Compact"/>
            </w:pPr>
            <w:r>
              <w:t xml:space="preserve">Vol III Book 01: Entra PIM JIT, PAW architecture, AC-6 least privilege</w:t>
            </w:r>
          </w:p>
        </w:tc>
      </w:tr>
      <w:tr>
        <w:tc>
          <w:tcPr/>
          <w:p>
            <w:pPr>
              <w:pStyle w:val="Compact"/>
            </w:pPr>
            <w:r>
              <w:t xml:space="preserve">Compliance — Vulnerability Management</w:t>
            </w:r>
          </w:p>
        </w:tc>
        <w:tc>
          <w:tcPr/>
          <w:p>
            <w:pPr>
              <w:pStyle w:val="Compact"/>
            </w:pPr>
            <w:r>
              <w:t xml:space="preserve">Vol III Book 02: Defender MDVM, CISA KEV, BOD 26-04 SLAs, RA-5 continuous scanning</w:t>
            </w:r>
          </w:p>
        </w:tc>
      </w:tr>
      <w:tr>
        <w:tc>
          <w:tcPr/>
          <w:p>
            <w:pPr>
              <w:pStyle w:val="Compact"/>
            </w:pPr>
            <w:r>
              <w:t xml:space="preserve">Compliance — Data Protection and Purview</w:t>
            </w:r>
          </w:p>
        </w:tc>
        <w:tc>
          <w:tcPr/>
          <w:p>
            <w:pPr>
              <w:pStyle w:val="Compact"/>
            </w:pPr>
            <w:r>
              <w:t xml:space="preserve">Vol III Book 05: Purview DLP, sensitivity labels, Key Vault CMK</w:t>
            </w:r>
          </w:p>
        </w:tc>
      </w:tr>
      <w:tr>
        <w:tc>
          <w:tcPr/>
          <w:p>
            <w:pPr>
              <w:pStyle w:val="Compact"/>
            </w:pPr>
            <w:r>
              <w:t xml:space="preserve">Compliance — SIEM / XDR / Detection Engineering</w:t>
            </w:r>
          </w:p>
        </w:tc>
        <w:tc>
          <w:tcPr/>
          <w:p>
            <w:pPr>
              <w:pStyle w:val="Compact"/>
            </w:pPr>
            <w:r>
              <w:t xml:space="preserve">Vol III Book 06: Sentinel connectors, KQL analytics, UEBA, Logic App playbooks</w:t>
            </w:r>
          </w:p>
        </w:tc>
      </w:tr>
      <w:tr>
        <w:tc>
          <w:tcPr/>
          <w:p>
            <w:pPr>
              <w:pStyle w:val="Compact"/>
            </w:pPr>
            <w:r>
              <w:t xml:space="preserve">Compliance — Business Continuity</w:t>
            </w:r>
          </w:p>
        </w:tc>
        <w:tc>
          <w:tcPr/>
          <w:p>
            <w:pPr>
              <w:pStyle w:val="Compact"/>
            </w:pPr>
            <w:r>
              <w:t xml:space="preserve">Vol IV Book 01: CP-2 Contingency Plan, BIA, SQL AG and DDI DR integration</w:t>
            </w:r>
          </w:p>
        </w:tc>
      </w:tr>
      <w:tr>
        <w:tc>
          <w:tcPr/>
          <w:p>
            <w:pPr>
              <w:pStyle w:val="Compact"/>
            </w:pPr>
            <w:r>
              <w:t xml:space="preserve">Compliance — Supply Chain Risk Management</w:t>
            </w:r>
          </w:p>
        </w:tc>
        <w:tc>
          <w:tcPr/>
          <w:p>
            <w:pPr>
              <w:pStyle w:val="Compact"/>
            </w:pPr>
            <w:r>
              <w:t xml:space="preserve">Vol IV Book 02: Syft SBOM, Grype VDR, OpenVEX, GitHub Actions pipeline</w:t>
            </w:r>
          </w:p>
        </w:tc>
      </w:tr>
      <w:tr>
        <w:tc>
          <w:tcPr/>
          <w:p>
            <w:pPr>
              <w:pStyle w:val="Compact"/>
            </w:pPr>
            <w:r>
              <w:t xml:space="preserve">Compliance — Program Management and Governance</w:t>
            </w:r>
          </w:p>
        </w:tc>
        <w:tc>
          <w:tcPr/>
          <w:p>
            <w:pPr>
              <w:pStyle w:val="Compact"/>
            </w:pPr>
            <w:r>
              <w:t xml:space="preserve">Vol IV Book 03: ISPP, POA&amp;M, SCRM Charter, PM-30 closure</w:t>
            </w:r>
          </w:p>
        </w:tc>
      </w:tr>
      <w:tr>
        <w:tc>
          <w:tcPr/>
          <w:p>
            <w:pPr>
              <w:pStyle w:val="Compact"/>
            </w:pPr>
            <w:r>
              <w:t xml:space="preserve">Compliance — PII Processing and Transparency</w:t>
            </w:r>
          </w:p>
        </w:tc>
        <w:tc>
          <w:tcPr/>
          <w:p>
            <w:pPr>
              <w:pStyle w:val="Compact"/>
            </w:pPr>
            <w:r>
              <w:t xml:space="preserve">Vol IV Book 04: PT family templates, Privacy Program Plan, Purview Data Map</w:t>
            </w:r>
          </w:p>
        </w:tc>
      </w:tr>
      <w:tr>
        <w:tc>
          <w:tcPr/>
          <w:p>
            <w:pPr>
              <w:pStyle w:val="Compact"/>
            </w:pPr>
            <w:r>
              <w:t xml:space="preserve">NIST SP 800-53 Rev 5</w:t>
            </w:r>
          </w:p>
        </w:tc>
        <w:tc>
          <w:tcPr/>
          <w:p>
            <w:pPr>
              <w:pStyle w:val="Compact"/>
            </w:pPr>
            <w:r>
              <w:t xml:space="preserve">Security and Privacy Controls — AT, CP, IR families</w:t>
            </w:r>
          </w:p>
        </w:tc>
      </w:tr>
      <w:tr>
        <w:tc>
          <w:tcPr/>
          <w:p>
            <w:pPr>
              <w:pStyle w:val="Compact"/>
            </w:pPr>
            <w:r>
              <w:t xml:space="preserve">NIST SP 800-50</w:t>
            </w:r>
          </w:p>
        </w:tc>
        <w:tc>
          <w:tcPr/>
          <w:p>
            <w:pPr>
              <w:pStyle w:val="Compact"/>
            </w:pPr>
            <w:r>
              <w:t xml:space="preserve">Building an Information Technology Security Awareness and Training Program</w:t>
            </w:r>
          </w:p>
        </w:tc>
      </w:tr>
      <w:tr>
        <w:tc>
          <w:tcPr/>
          <w:p>
            <w:pPr>
              <w:pStyle w:val="Compact"/>
            </w:pPr>
            <w:r>
              <w:t xml:space="preserve">NIST SP 800-16</w:t>
            </w:r>
          </w:p>
        </w:tc>
        <w:tc>
          <w:tcPr/>
          <w:p>
            <w:pPr>
              <w:pStyle w:val="Compact"/>
            </w:pPr>
            <w:r>
              <w:t xml:space="preserve">Information Technology Security Training Requirements</w:t>
            </w:r>
          </w:p>
        </w:tc>
      </w:tr>
      <w:tr>
        <w:tc>
          <w:tcPr/>
          <w:p>
            <w:pPr>
              <w:pStyle w:val="Compact"/>
            </w:pPr>
            <w:r>
              <w:t xml:space="preserve">FedRAMP 20x Consolidated Rules (June 25, 2026)</w:t>
            </w:r>
          </w:p>
        </w:tc>
        <w:tc>
          <w:tcPr/>
          <w:p>
            <w:pPr>
              <w:pStyle w:val="Compact"/>
            </w:pPr>
            <w:r>
              <w:t xml:space="preserve">KSI-CED-RAT — Reviewing All Training</w:t>
            </w:r>
          </w:p>
        </w:tc>
      </w:tr>
      <w:tr>
        <w:tc>
          <w:tcPr/>
          <w:p>
            <w:pPr>
              <w:pStyle w:val="Compact"/>
            </w:pPr>
            <w:r>
              <w:t xml:space="preserve">CISA Cybersecurity Training</w:t>
            </w:r>
          </w:p>
        </w:tc>
        <w:tc>
          <w:tcPr/>
          <w:p>
            <w:pPr>
              <w:pStyle w:val="Compact"/>
            </w:pPr>
            <w:r>
              <w:t xml:space="preserve">free.cisa.gov — federal workforce awareness resources</w:t>
            </w:r>
          </w:p>
        </w:tc>
      </w:tr>
      <w:tr>
        <w:tc>
          <w:tcPr/>
          <w:p>
            <w:pPr>
              <w:pStyle w:val="Compact"/>
            </w:pPr>
            <w:r>
              <w:t xml:space="preserve">DoD Cyber Awareness Challenge</w:t>
            </w:r>
          </w:p>
        </w:tc>
        <w:tc>
          <w:tcPr/>
          <w:p>
            <w:pPr>
              <w:pStyle w:val="Compact"/>
            </w:pPr>
            <w:r>
              <w:t xml:space="preserve">Annual awareness training; ATCTS completion records</w:t>
            </w:r>
          </w:p>
        </w:tc>
      </w:tr>
      <w:tr>
        <w:tc>
          <w:tcPr/>
          <w:p>
            <w:pPr>
              <w:pStyle w:val="Compact"/>
            </w:pPr>
            <w:r>
              <w:t xml:space="preserve">Microsoft Graph API — Viva Learning</w:t>
            </w:r>
          </w:p>
        </w:tc>
        <w:tc>
          <w:tcPr/>
          <w:p>
            <w:pPr>
              <w:pStyle w:val="Compact"/>
            </w:pPr>
            <w:r>
              <w:t xml:space="preserve">LearningCourseActivities endpoint for AT-4 evidence export</w:t>
            </w:r>
          </w:p>
        </w:tc>
      </w:tr>
      <w:tr>
        <w:tc>
          <w:tcPr/>
          <w:p>
            <w:pPr>
              <w:pStyle w:val="Compact"/>
            </w:pPr>
            <w:r>
              <w:t xml:space="preserve">EO 14028</w:t>
            </w:r>
          </w:p>
        </w:tc>
        <w:tc>
          <w:tcPr/>
          <w:p>
            <w:pPr>
              <w:pStyle w:val="Compact"/>
            </w:pPr>
            <w:r>
              <w:t xml:space="preserve">Improving the Nation’s Cybersecurity — training requirements for federal workforce</w:t>
            </w:r>
          </w:p>
        </w:tc>
      </w:tr>
    </w:tbl>
    <w:bookmarkStart w:id="220" w:name="draft-proposal-subject-to-review-6"/>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is an attempt at a comprehensive Agency-wide technical roadmap and has not been reviewed or approved by the Agency CIO Office, the Office of Information Security (OIS), or organizational leadership. All recommendations, vendor selections, control mappings, and implementation timelines are subject to revision pending formal review by the Agency CIO Office and organizational components.</w:t>
      </w:r>
    </w:p>
    <w:p>
      <w:pPr>
        <w:pStyle w:val="BodyText"/>
      </w:pPr>
      <w:r>
        <w:rPr>
          <w:b/>
          <w:bCs/>
        </w:rPr>
        <w:t xml:space="preserve">Date Code:</w:t>
      </w:r>
      <w:r>
        <w:t xml:space="preserve"> </w:t>
      </w:r>
      <w:r>
        <w:t xml:space="preserve">2026-07-18 00:56 ET</w:t>
      </w:r>
    </w:p>
    <w:bookmarkEnd w:id="220"/>
    <w:bookmarkEnd w:id="221"/>
    <w:bookmarkStart w:id="222" w:name="preface"/>
    <w:p>
      <w:pPr>
        <w:pStyle w:val="Heading1"/>
      </w:pPr>
      <w:r>
        <w:t xml:space="preserve">Preface</w:t>
      </w:r>
    </w:p>
    <w:p>
      <w:pPr>
        <w:pStyle w:val="FirstParagraph"/>
      </w:pPr>
      <w:r>
        <w:t xml:space="preserve">This is the capstone book of the Federal Compliance</w:t>
      </w:r>
      <w:r>
        <w:t xml:space="preserve"> </w:t>
      </w:r>
      <w:r>
        <w:t xml:space="preserve">(Compliance) series. The preceding twenty-two content books, spanning Volumes I–IV, generated the evidence layer: infrastructure</w:t>
      </w:r>
      <w:r>
        <w:t xml:space="preserve"> </w:t>
      </w:r>
      <w:r>
        <w:t xml:space="preserve">architecture, security controls, governance artifacts, and training records</w:t>
      </w:r>
      <w:r>
        <w:t xml:space="preserve"> </w:t>
      </w:r>
      <w:r>
        <w:t xml:space="preserve">mapped to NIST SP 800-53 Rev 5 controls, with ConMon evidence modeled on the</w:t>
      </w:r>
      <w:r>
        <w:t xml:space="preserve"> </w:t>
      </w:r>
      <w:r>
        <w:t xml:space="preserve">FedRAMP 20x CR26 KSI schema (29 rules in the series’ internal KSI decomposition). This document</w:t>
      </w:r>
      <w:r>
        <w:t xml:space="preserve"> </w:t>
      </w:r>
      <w:r>
        <w:t xml:space="preserve">assembles those artifacts into the</w:t>
      </w:r>
      <w:r>
        <w:t xml:space="preserve"> </w:t>
      </w:r>
      <w:r>
        <w:rPr>
          <w:b/>
          <w:bCs/>
        </w:rPr>
        <w:t xml:space="preserve">agency RMF authorization package</w:t>
      </w:r>
      <w:r>
        <w:t xml:space="preserve"> </w:t>
      </w:r>
      <w:r>
        <w:t xml:space="preserve">— the</w:t>
      </w:r>
      <w:r>
        <w:t xml:space="preserve"> </w:t>
      </w:r>
      <w:r>
        <w:t xml:space="preserve">formal package presented to the Agency Authorizing Official for an agency</w:t>
      </w:r>
      <w:r>
        <w:t xml:space="preserve"> </w:t>
      </w:r>
      <w:r>
        <w:t xml:space="preserve">Authorization to Operate (ATO) under NIST SP 800-37, with the FedRAMP-authorized</w:t>
      </w:r>
      <w:r>
        <w:t xml:space="preserve"> </w:t>
      </w:r>
      <w:r>
        <w:t xml:space="preserve">cloud services Agency consumes documented as inherited (leveraged) authorizations.</w:t>
      </w:r>
      <w:r>
        <w:t xml:space="preserve"> </w:t>
      </w:r>
      <w:r>
        <w:t xml:space="preserve">Agency is a consuming agency, not a cloud service provider: nothing in this package</w:t>
      </w:r>
      <w:r>
        <w:t xml:space="preserve"> </w:t>
      </w:r>
      <w:r>
        <w:t xml:space="preserve">is submitted to the FedRAMP PMO. The FedRAMP 20x pipeline (Class A/B/C windows)</w:t>
      </w:r>
      <w:r>
        <w:t xml:space="preserve"> </w:t>
      </w:r>
      <w:r>
        <w:t xml:space="preserve">applies to the CSOs Agency inherits, and this book tracks those provider timelines</w:t>
      </w:r>
      <w:r>
        <w:t xml:space="preserve"> </w:t>
      </w:r>
      <w:r>
        <w:t xml:space="preserve">where they matter to inheritance.</w:t>
      </w:r>
    </w:p>
    <w:p>
      <w:pPr>
        <w:pStyle w:val="BodyText"/>
      </w:pPr>
      <w:r>
        <w:t xml:space="preserve">This book addresses four deliverables:</w:t>
      </w:r>
    </w:p>
    <w:p>
      <w:pPr>
        <w:pStyle w:val="Compact"/>
        <w:numPr>
          <w:ilvl w:val="0"/>
          <w:numId w:val="1075"/>
        </w:numPr>
      </w:pPr>
      <w:r>
        <w:rPr>
          <w:b/>
          <w:bCs/>
        </w:rPr>
        <w:t xml:space="preserve">Authorization Package Structure</w:t>
      </w:r>
      <w:r>
        <w:t xml:space="preserve"> </w:t>
      </w:r>
      <w:r>
        <w:t xml:space="preserve">— what documents, in which format, presented to whom</w:t>
      </w:r>
    </w:p>
    <w:p>
      <w:pPr>
        <w:pStyle w:val="Compact"/>
        <w:numPr>
          <w:ilvl w:val="0"/>
          <w:numId w:val="1075"/>
        </w:numPr>
      </w:pPr>
      <w:r>
        <w:rPr>
          <w:b/>
          <w:bCs/>
        </w:rPr>
        <w:t xml:space="preserve">Continuous Monitoring Program</w:t>
      </w:r>
      <w:r>
        <w:t xml:space="preserve"> </w:t>
      </w:r>
      <w:r>
        <w:t xml:space="preserve">— how the evidence stays fresh after ATO (CA-7)</w:t>
      </w:r>
    </w:p>
    <w:p>
      <w:pPr>
        <w:pStyle w:val="Compact"/>
        <w:numPr>
          <w:ilvl w:val="0"/>
          <w:numId w:val="1075"/>
        </w:numPr>
      </w:pPr>
      <w:r>
        <w:rPr>
          <w:b/>
          <w:bCs/>
        </w:rPr>
        <w:t xml:space="preserve">BOD 26-04 VDR/VER Submission</w:t>
      </w:r>
      <w:r>
        <w:t xml:space="preserve"> </w:t>
      </w:r>
      <w:r>
        <w:t xml:space="preserve">— the December 7, 2026 SBOM + vendor disclosure</w:t>
      </w:r>
    </w:p>
    <w:p>
      <w:pPr>
        <w:pStyle w:val="Compact"/>
        <w:numPr>
          <w:ilvl w:val="0"/>
          <w:numId w:val="1075"/>
        </w:numPr>
      </w:pPr>
      <w:r>
        <w:rPr>
          <w:b/>
          <w:bCs/>
        </w:rPr>
        <w:t xml:space="preserve">OSCAL AP+AR+POAM Bundle</w:t>
      </w:r>
      <w:r>
        <w:t xml:space="preserve"> </w:t>
      </w:r>
      <w:r>
        <w:t xml:space="preserve">— the machine-readable KSI evidence package</w:t>
      </w:r>
    </w:p>
    <w:p>
      <w:pPr>
        <w:pStyle w:val="FirstParagraph"/>
      </w:pPr>
      <w:r>
        <w:t xml:space="preserve">Controls closed by this document: CA-2, CA-5, CA-6, CA-7, CA-7(1), CA-7(3),</w:t>
      </w:r>
      <w:r>
        <w:t xml:space="preserve"> </w:t>
      </w:r>
      <w:r>
        <w:t xml:space="preserve">RA-3, SA-15 (pending registration in the compliance spine).</w:t>
      </w:r>
    </w:p>
    <w:p>
      <w:r>
        <w:pict>
          <v:rect style="width:0;height:1.5pt" o:hralign="center" o:hrstd="t" o:hr="t"/>
        </w:pict>
      </w:r>
    </w:p>
    <w:bookmarkEnd w:id="222"/>
    <w:bookmarkStart w:id="225" w:name="Xa04494a27b2c3c3f3dc70d94166e0f44e2439ee"/>
    <w:p>
      <w:pPr>
        <w:pStyle w:val="Heading1"/>
      </w:pPr>
      <w:r>
        <w:t xml:space="preserve">1 The Twenty-Two-Book Journey — All 29 Internal KSI Rules Evaluable at High Confidence</w:t>
      </w:r>
    </w:p>
    <w:bookmarkStart w:id="223" w:name="series-summary"/>
    <w:p>
      <w:pPr>
        <w:pStyle w:val="Heading2"/>
      </w:pPr>
      <w:r>
        <w:t xml:space="preserve">1.1 Series Summary</w:t>
      </w:r>
    </w:p>
    <w:p>
      <w:pPr>
        <w:pStyle w:val="FirstParagraph"/>
      </w:pPr>
      <w:r>
        <w:t xml:space="preserve">The Compliance series delivered twenty-two technical books covering the Agency GCC</w:t>
      </w:r>
      <w:r>
        <w:t xml:space="preserve"> </w:t>
      </w:r>
      <w:r>
        <w:t xml:space="preserve">Moderate boundary against NIST SP 800-53 Rev 5 and FedRAMP 20x Consolidated</w:t>
      </w:r>
      <w:r>
        <w:t xml:space="preserve"> </w:t>
      </w:r>
      <w:r>
        <w:t xml:space="preserve">Rules. Together the series closes</w:t>
      </w:r>
      <w:r>
        <w:t xml:space="preserve"> </w:t>
      </w:r>
      <w:r>
        <w:rPr>
          <w:b/>
          <w:bCs/>
        </w:rPr>
        <w:t xml:space="preserve">89+ distinct NIST controls</w:t>
      </w:r>
      <w:r>
        <w:t xml:space="preserve"> </w:t>
      </w:r>
      <w:r>
        <w:t xml:space="preserve">and provides</w:t>
      </w:r>
      <w:r>
        <w:t xml:space="preserve"> </w:t>
      </w:r>
      <w:r>
        <w:t xml:space="preserve">self-assessed evidence for all</w:t>
      </w:r>
      <w:r>
        <w:t xml:space="preserve"> </w:t>
      </w:r>
      <w:r>
        <w:rPr>
          <w:b/>
          <w:bCs/>
        </w:rPr>
        <w:t xml:space="preserve">29 rules in the series’ internal KSI decomposition</w:t>
      </w:r>
      <w:r>
        <w:t xml:space="preserve"> </w:t>
      </w:r>
      <w:r>
        <w:t xml:space="preserve">(modeled on the FedRAMP 20x CR26 KSI schema).</w:t>
      </w:r>
    </w:p>
    <w:p>
      <w:pPr>
        <w:pStyle w:val="BodyText"/>
      </w:pPr>
      <w:r>
        <w:rPr>
          <w:b/>
          <w:bCs/>
        </w:rPr>
        <w:t xml:space="preserve">Self-Assessment Notice.</w:t>
      </w:r>
      <w:r>
        <w:t xml:space="preserve"> </w:t>
      </w:r>
      <w:r>
        <w:t xml:space="preserve">All KSI verdicts in this document are produced by</w:t>
      </w:r>
      <w:r>
        <w:t xml:space="preserve"> </w:t>
      </w:r>
      <w:r>
        <w:t xml:space="preserve">the governance engine’s conformance adapter — an automated self-assessment tool. They are</w:t>
      </w:r>
      <w:r>
        <w:t xml:space="preserve"> </w:t>
      </w:r>
      <w:r>
        <w:t xml:space="preserve">advisory and do not constitute a formal authorization. Results must be</w:t>
      </w:r>
      <w:r>
        <w:t xml:space="preserve"> </w:t>
      </w:r>
      <w:r>
        <w:t xml:space="preserve">independently validated through a security control assessment (SCA) — Agency may</w:t>
      </w:r>
      <w:r>
        <w:t xml:space="preserve"> </w:t>
      </w:r>
      <w:r>
        <w:t xml:space="preserve">engage a FedRAMP-recognized 3PAO as its independent assessor — and accepted by</w:t>
      </w:r>
      <w:r>
        <w:t xml:space="preserve"> </w:t>
      </w:r>
      <w:r>
        <w:t xml:space="preserve">the Agency Authorizing Official before an ATO is granted.</w:t>
      </w:r>
    </w:p>
    <w:p>
      <w:pPr>
        <w:pStyle w:val="BodyText"/>
      </w:pPr>
      <w:r>
        <w:rPr>
          <w:b/>
          <w:bCs/>
        </w:rPr>
        <w:t xml:space="preserve">KSI-count reconciliation (initial diff published).</w:t>
      </w:r>
      <w:r>
        <w:t xml:space="preserve"> </w:t>
      </w:r>
      <w:r>
        <w:t xml:space="preserve">The 29 rules evaluated</w:t>
      </w:r>
      <w:r>
        <w:t xml:space="preserve"> </w:t>
      </w:r>
      <w:r>
        <w:t xml:space="preserve">here are the series’ internal KSI decomposition, not the published CR26 Moderate KSI</w:t>
      </w:r>
      <w:r>
        <w:t xml:space="preserve"> </w:t>
      </w:r>
      <w:r>
        <w:t xml:space="preserve">catalog. The rule-ID-by-rule-ID diff against the in-repo CR26 OSCAL catalog now</w:t>
      </w:r>
      <w:r>
        <w:t xml:space="preserve"> </w:t>
      </w:r>
      <w:r>
        <w:t xml:space="preserve">exists — see</w:t>
      </w:r>
      <w:r>
        <w:t xml:space="preserve"> </w:t>
      </w:r>
      <w:r>
        <w:rPr>
          <w:rStyle w:val="VerbatimChar"/>
        </w:rPr>
        <w:t xml:space="preserve">Compliance_CR26_Reconciliation.md</w:t>
      </w:r>
      <w:r>
        <w:t xml:space="preserve">. Result:</w:t>
      </w:r>
      <w:r>
        <w:t xml:space="preserve"> </w:t>
      </w:r>
      <w:r>
        <w:rPr>
          <w:b/>
          <w:bCs/>
        </w:rPr>
        <w:t xml:space="preserve">19 of 46</w:t>
      </w:r>
      <w:r>
        <w:t xml:space="preserve"> </w:t>
      </w:r>
      <w:r>
        <w:t xml:space="preserve">CR26 indicators</w:t>
      </w:r>
      <w:r>
        <w:t xml:space="preserve"> </w:t>
      </w:r>
      <w:r>
        <w:t xml:space="preserve">are explicitly mapped 1:1 to an internal rule (six themes fully covered);</w:t>
      </w:r>
      <w:r>
        <w:t xml:space="preserve"> </w:t>
      </w:r>
      <w:r>
        <w:rPr>
          <w:b/>
          <w:bCs/>
        </w:rPr>
        <w:t xml:space="preserve">27</w:t>
      </w:r>
      <w:r>
        <w:rPr>
          <w:b/>
          <w:bCs/>
        </w:rPr>
        <w:t xml:space="preserve"> </w:t>
      </w:r>
      <w:r>
        <w:rPr>
          <w:b/>
          <w:bCs/>
        </w:rPr>
        <w:t xml:space="preserve">are not yet bound to an indicator ID</w:t>
      </w:r>
      <w:r>
        <w:t xml:space="preserve"> </w:t>
      </w:r>
      <w:r>
        <w:t xml:space="preserve">(the IAM/CNA/SVC/MLA themes, addressed by</w:t>
      </w:r>
      <w:r>
        <w:t xml:space="preserve"> </w:t>
      </w:r>
      <w:r>
        <w:t xml:space="preserve">the 10 ScuBA baseline rules without indicator-ID binding). So</w:t>
      </w:r>
      <w:r>
        <w:t xml:space="preserve"> </w:t>
      </w:r>
      <w:r>
        <w:t xml:space="preserve">“29/29 satisfied”</w:t>
      </w:r>
      <w:r>
        <w:t xml:space="preserve"> </w:t>
      </w:r>
      <w:r>
        <w:t xml:space="preserve">is a claim about the internal rule set; CR26 indicator-level coverage is 19/46</w:t>
      </w:r>
      <w:r>
        <w:t xml:space="preserve"> </w:t>
      </w:r>
      <w:r>
        <w:t xml:space="preserve">explicitly mapped, and the POA&amp;M is expected non-empty once the remaining</w:t>
      </w:r>
      <w:r>
        <w:t xml:space="preserve"> </w:t>
      </w:r>
      <w:r>
        <w:t xml:space="preserve">indicators are assessed against the finalized CR26 Moderate list (June 25, 2026)</w:t>
      </w:r>
      <w:r>
        <w:t xml:space="preserve"> </w:t>
      </w:r>
      <w:r>
        <w:t xml:space="preserve">by an independent SCA.</w:t>
      </w:r>
    </w:p>
    <w:p>
      <w:pPr>
        <w:pStyle w:val="TableCaption"/>
      </w:pPr>
      <w:r>
        <w:t xml:space="preserve">Compliance Series — Control Coverage Summary</w:t>
      </w:r>
    </w:p>
    <w:tbl>
      <w:tblPr>
        <w:tblStyle w:val="Table"/>
        <w:tblW w:type="pct" w:w="5000"/>
        <w:tblLayout w:type="fixed"/>
        <w:tblLook w:firstRow="1" w:lastRow="0" w:firstColumn="0" w:lastColumn="0" w:noHBand="0" w:noVBand="0" w:val="0020"/>
        <w:tblCaption w:val="Compliance Series — Control Coverage Summary"/>
      </w:tblPr>
      <w:tblGrid>
        <w:gridCol w:w="2066"/>
        <w:gridCol w:w="2410"/>
        <w:gridCol w:w="3443"/>
      </w:tblGrid>
      <w:tr>
        <w:trPr>
          <w:tblHeader w:val="on"/>
        </w:trPr>
        <w:tc>
          <w:tcPr/>
          <w:p>
            <w:pPr>
              <w:pStyle w:val="Compact"/>
            </w:pPr>
            <w:r>
              <w:t xml:space="preserve">Book</w:t>
            </w:r>
          </w:p>
        </w:tc>
        <w:tc>
          <w:tcPr/>
          <w:p>
            <w:pPr>
              <w:pStyle w:val="Compact"/>
            </w:pPr>
            <w:r>
              <w:t xml:space="preserve">Topic</w:t>
            </w:r>
          </w:p>
        </w:tc>
        <w:tc>
          <w:tcPr/>
          <w:p>
            <w:pPr>
              <w:pStyle w:val="Compact"/>
            </w:pPr>
            <w:r>
              <w:t xml:space="preserve">Controls</w:t>
            </w:r>
          </w:p>
        </w:tc>
      </w:tr>
      <w:tr>
        <w:tc>
          <w:tcPr/>
          <w:p>
            <w:pPr>
              <w:pStyle w:val="Compact"/>
            </w:pPr>
            <w:r>
              <w:t xml:space="preserve">Vol I Book 01</w:t>
            </w:r>
          </w:p>
        </w:tc>
        <w:tc>
          <w:tcPr/>
          <w:p>
            <w:pPr>
              <w:pStyle w:val="Compact"/>
            </w:pPr>
            <w:r>
              <w:t xml:space="preserve">InfoBlox DDI — IPAM, DNS, DHCP, PKI</w:t>
            </w:r>
          </w:p>
        </w:tc>
        <w:tc>
          <w:tcPr/>
          <w:p>
            <w:pPr>
              <w:pStyle w:val="Compact"/>
            </w:pPr>
            <w:r>
              <w:t xml:space="preserve">16</w:t>
            </w:r>
          </w:p>
        </w:tc>
      </w:tr>
      <w:tr>
        <w:tc>
          <w:tcPr/>
          <w:p>
            <w:pPr>
              <w:pStyle w:val="Compact"/>
            </w:pPr>
            <w:r>
              <w:t xml:space="preserve">Vol I Book 02</w:t>
            </w:r>
          </w:p>
        </w:tc>
        <w:tc>
          <w:tcPr/>
          <w:p>
            <w:pPr>
              <w:pStyle w:val="Compact"/>
            </w:pPr>
            <w:r>
              <w:t xml:space="preserve">Network Access Control — 802.1X device identity at the port (device-identity evidence for the network and endpoint slot families)</w:t>
            </w:r>
          </w:p>
        </w:tc>
        <w:tc>
          <w:tcPr/>
          <w:p>
            <w:pPr>
              <w:pStyle w:val="Compact"/>
            </w:pPr>
            <w:r>
              <w:t xml:space="preserve">IA-3, IA-3(1), AC-19, SC-7(3), SC-7(5), CM-8</w:t>
            </w:r>
          </w:p>
        </w:tc>
      </w:tr>
      <w:tr>
        <w:tc>
          <w:tcPr/>
          <w:p>
            <w:pPr>
              <w:pStyle w:val="Compact"/>
            </w:pPr>
            <w:r>
              <w:t xml:space="preserve">Vol I Book 03</w:t>
            </w:r>
          </w:p>
        </w:tc>
        <w:tc>
          <w:tcPr/>
          <w:p>
            <w:pPr>
              <w:pStyle w:val="Compact"/>
            </w:pPr>
            <w:r>
              <w:t xml:space="preserve">Certificates and Tokens — cryptographic identity (PKI lifecycle, OAuth/OIDC, CBA; identity slot family evidence)</w:t>
            </w:r>
          </w:p>
        </w:tc>
        <w:tc>
          <w:tcPr/>
          <w:p>
            <w:pPr>
              <w:pStyle w:val="Compact"/>
            </w:pPr>
            <w:r>
              <w:t xml:space="preserve">IA-2(1)/(2), IA-5(2), SC-12, SC-17</w:t>
            </w:r>
          </w:p>
        </w:tc>
      </w:tr>
      <w:tr>
        <w:tc>
          <w:tcPr/>
          <w:p>
            <w:pPr>
              <w:pStyle w:val="Compact"/>
            </w:pPr>
            <w:r>
              <w:t xml:space="preserve">Vol I Book 04</w:t>
            </w:r>
          </w:p>
        </w:tc>
        <w:tc>
          <w:tcPr/>
          <w:p>
            <w:pPr>
              <w:pStyle w:val="Compact"/>
            </w:pPr>
            <w:r>
              <w:t xml:space="preserve">OPM HRIT and the Identity &amp; Organizational SSOT — Oracle HCM Cloud as the HR system of record (identity slot family evidence, slot-01)</w:t>
            </w:r>
          </w:p>
        </w:tc>
        <w:tc>
          <w:tcPr/>
          <w:p>
            <w:pPr>
              <w:pStyle w:val="Compact"/>
            </w:pPr>
            <w:r>
              <w:t xml:space="preserve">AC-2, AC-2(1), PS-4, PS-5, IA-4, SI-12</w:t>
            </w:r>
          </w:p>
        </w:tc>
      </w:tr>
      <w:tr>
        <w:tc>
          <w:tcPr/>
          <w:p>
            <w:pPr>
              <w:pStyle w:val="Compact"/>
            </w:pPr>
            <w:r>
              <w:t xml:space="preserve">Vol I Book 06</w:t>
            </w:r>
          </w:p>
        </w:tc>
        <w:tc>
          <w:tcPr/>
          <w:p>
            <w:pPr>
              <w:pStyle w:val="Compact"/>
            </w:pPr>
            <w:r>
              <w:t xml:space="preserve">SD-WAN, SASE, UC (Teams Phone, Amazon Connect)</w:t>
            </w:r>
          </w:p>
        </w:tc>
        <w:tc>
          <w:tcPr/>
          <w:p>
            <w:pPr>
              <w:pStyle w:val="Compact"/>
            </w:pPr>
            <w:r>
              <w:t xml:space="preserve">7</w:t>
            </w:r>
          </w:p>
        </w:tc>
      </w:tr>
      <w:tr>
        <w:tc>
          <w:tcPr/>
          <w:p>
            <w:pPr>
              <w:pStyle w:val="Compact"/>
            </w:pPr>
            <w:r>
              <w:t xml:space="preserve">Vol I Book 05</w:t>
            </w:r>
          </w:p>
        </w:tc>
        <w:tc>
          <w:tcPr/>
          <w:p>
            <w:pPr>
              <w:pStyle w:val="Compact"/>
            </w:pPr>
            <w:r>
              <w:t xml:space="preserve">Entra ID, ZTNA, Drift Reconciliation</w:t>
            </w:r>
          </w:p>
        </w:tc>
        <w:tc>
          <w:tcPr/>
          <w:p>
            <w:pPr>
              <w:pStyle w:val="Compact"/>
            </w:pPr>
            <w:r>
              <w:t xml:space="preserve">12</w:t>
            </w:r>
          </w:p>
        </w:tc>
      </w:tr>
      <w:tr>
        <w:tc>
          <w:tcPr/>
          <w:p>
            <w:pPr>
              <w:pStyle w:val="Compact"/>
            </w:pPr>
            <w:r>
              <w:t xml:space="preserve">Vol II Book 01</w:t>
            </w:r>
          </w:p>
        </w:tc>
        <w:tc>
          <w:tcPr/>
          <w:p>
            <w:pPr>
              <w:pStyle w:val="Compact"/>
            </w:pPr>
            <w:r>
              <w:t xml:space="preserve">SQL Server Authentication Modernization</w:t>
            </w:r>
          </w:p>
        </w:tc>
        <w:tc>
          <w:tcPr/>
          <w:p>
            <w:pPr>
              <w:pStyle w:val="Compact"/>
            </w:pPr>
            <w:r>
              <w:t xml:space="preserve">IA family (depth)</w:t>
            </w:r>
          </w:p>
        </w:tc>
      </w:tr>
      <w:tr>
        <w:tc>
          <w:tcPr/>
          <w:p>
            <w:pPr>
              <w:pStyle w:val="Compact"/>
            </w:pPr>
            <w:r>
              <w:t xml:space="preserve">Vol II Book 02</w:t>
            </w:r>
          </w:p>
        </w:tc>
        <w:tc>
          <w:tcPr/>
          <w:p>
            <w:pPr>
              <w:pStyle w:val="Compact"/>
            </w:pPr>
            <w:r>
              <w:t xml:space="preserve">SQL Server Implementation Runbook</w:t>
            </w:r>
          </w:p>
        </w:tc>
        <w:tc>
          <w:tcPr/>
          <w:p>
            <w:pPr>
              <w:pStyle w:val="Compact"/>
            </w:pPr>
            <w:r>
              <w:t xml:space="preserve">Procedural evidence</w:t>
            </w:r>
          </w:p>
        </w:tc>
      </w:tr>
      <w:tr>
        <w:tc>
          <w:tcPr/>
          <w:p>
            <w:pPr>
              <w:pStyle w:val="Compact"/>
            </w:pPr>
            <w:r>
              <w:t xml:space="preserve">Vol II Book 03</w:t>
            </w:r>
          </w:p>
        </w:tc>
        <w:tc>
          <w:tcPr/>
          <w:p>
            <w:pPr>
              <w:pStyle w:val="Compact"/>
            </w:pPr>
            <w:r>
              <w:t xml:space="preserve">Database Architecture / Network Physics</w:t>
            </w:r>
          </w:p>
        </w:tc>
        <w:tc>
          <w:tcPr/>
          <w:p>
            <w:pPr>
              <w:pStyle w:val="Compact"/>
            </w:pPr>
            <w:r>
              <w:t xml:space="preserve">SC/SI families (depth)</w:t>
            </w:r>
          </w:p>
        </w:tc>
      </w:tr>
      <w:tr>
        <w:tc>
          <w:tcPr/>
          <w:p>
            <w:pPr>
              <w:pStyle w:val="Compact"/>
            </w:pPr>
            <w:r>
              <w:t xml:space="preserve">Vol III Book 01</w:t>
            </w:r>
          </w:p>
        </w:tc>
        <w:tc>
          <w:tcPr/>
          <w:p>
            <w:pPr>
              <w:pStyle w:val="Compact"/>
            </w:pPr>
            <w:r>
              <w:t xml:space="preserve">Privileged Access Management (Entra PIM + PAW)</w:t>
            </w:r>
          </w:p>
        </w:tc>
        <w:tc>
          <w:tcPr/>
          <w:p>
            <w:pPr>
              <w:pStyle w:val="Compact"/>
            </w:pPr>
            <w:r>
              <w:t xml:space="preserve">AC-5, AC-6(×7), AC-11/12, IA-11</w:t>
            </w:r>
          </w:p>
        </w:tc>
      </w:tr>
      <w:tr>
        <w:tc>
          <w:tcPr/>
          <w:p>
            <w:pPr>
              <w:pStyle w:val="Compact"/>
            </w:pPr>
            <w:r>
              <w:t xml:space="preserve">Vol III Book 02</w:t>
            </w:r>
          </w:p>
        </w:tc>
        <w:tc>
          <w:tcPr/>
          <w:p>
            <w:pPr>
              <w:pStyle w:val="Compact"/>
            </w:pPr>
            <w:r>
              <w:t xml:space="preserve">Vulnerability Management (Defender VM + KEV)</w:t>
            </w:r>
          </w:p>
        </w:tc>
        <w:tc>
          <w:tcPr/>
          <w:p>
            <w:pPr>
              <w:pStyle w:val="Compact"/>
            </w:pPr>
            <w:r>
              <w:t xml:space="preserve">RA-5(×3), SI-2(×2), SI-5, CM-7(×2)</w:t>
            </w:r>
          </w:p>
        </w:tc>
      </w:tr>
      <w:tr>
        <w:tc>
          <w:tcPr/>
          <w:p>
            <w:pPr>
              <w:pStyle w:val="Compact"/>
            </w:pPr>
            <w:r>
              <w:t xml:space="preserve">Vol III Book 05</w:t>
            </w:r>
          </w:p>
        </w:tc>
        <w:tc>
          <w:tcPr/>
          <w:p>
            <w:pPr>
              <w:pStyle w:val="Compact"/>
            </w:pPr>
            <w:r>
              <w:t xml:space="preserve">Data Protection (Purview + Key Vault CMK)</w:t>
            </w:r>
          </w:p>
        </w:tc>
        <w:tc>
          <w:tcPr/>
          <w:p>
            <w:pPr>
              <w:pStyle w:val="Compact"/>
            </w:pPr>
            <w:r>
              <w:t xml:space="preserve">MP-2–5, SC-12/13/17/28, AU-10</w:t>
            </w:r>
          </w:p>
        </w:tc>
      </w:tr>
      <w:tr>
        <w:tc>
          <w:tcPr/>
          <w:p>
            <w:pPr>
              <w:pStyle w:val="Compact"/>
            </w:pPr>
            <w:r>
              <w:t xml:space="preserve">Vol III Book 06</w:t>
            </w:r>
          </w:p>
        </w:tc>
        <w:tc>
          <w:tcPr/>
          <w:p>
            <w:pPr>
              <w:pStyle w:val="Compact"/>
            </w:pPr>
            <w:r>
              <w:t xml:space="preserve">SIEM / XDR / Detection Engineering (Sentinel)</w:t>
            </w:r>
          </w:p>
        </w:tc>
        <w:tc>
          <w:tcPr/>
          <w:p>
            <w:pPr>
              <w:pStyle w:val="Compact"/>
            </w:pPr>
            <w:r>
              <w:t xml:space="preserve">AU-6(×3), AU-7/8/11, SI-4(×4), IR-4/6/8</w:t>
            </w:r>
          </w:p>
        </w:tc>
      </w:tr>
      <w:tr>
        <w:tc>
          <w:tcPr/>
          <w:p>
            <w:pPr>
              <w:pStyle w:val="Compact"/>
            </w:pPr>
            <w:r>
              <w:t xml:space="preserve">Vol IV Book 01</w:t>
            </w:r>
          </w:p>
        </w:tc>
        <w:tc>
          <w:tcPr/>
          <w:p>
            <w:pPr>
              <w:pStyle w:val="Compact"/>
            </w:pPr>
            <w:r>
              <w:t xml:space="preserve">Business Continuity / Contingency Planning</w:t>
            </w:r>
          </w:p>
        </w:tc>
        <w:tc>
          <w:tcPr/>
          <w:p>
            <w:pPr>
              <w:pStyle w:val="Compact"/>
            </w:pPr>
            <w:r>
              <w:t xml:space="preserve">CP-2(×3), CP-3/4(×2), CP-6/7(×3), CP-8(×2)</w:t>
            </w:r>
          </w:p>
        </w:tc>
      </w:tr>
      <w:tr>
        <w:tc>
          <w:tcPr/>
          <w:p>
            <w:pPr>
              <w:pStyle w:val="Compact"/>
            </w:pPr>
            <w:r>
              <w:t xml:space="preserve">Vol IV Book 02</w:t>
            </w:r>
          </w:p>
        </w:tc>
        <w:tc>
          <w:tcPr/>
          <w:p>
            <w:pPr>
              <w:pStyle w:val="Compact"/>
            </w:pPr>
            <w:r>
              <w:t xml:space="preserve">Supply Chain Risk / SBOM / VDR</w:t>
            </w:r>
          </w:p>
        </w:tc>
        <w:tc>
          <w:tcPr/>
          <w:p>
            <w:pPr>
              <w:pStyle w:val="Compact"/>
            </w:pPr>
            <w:r>
              <w:t xml:space="preserve">SR-1–3/5/6/8/10/11 + BOD 26-04 framework</w:t>
            </w:r>
          </w:p>
        </w:tc>
      </w:tr>
      <w:tr>
        <w:tc>
          <w:tcPr/>
          <w:p>
            <w:pPr>
              <w:pStyle w:val="Compact"/>
            </w:pPr>
            <w:r>
              <w:t xml:space="preserve">Vol IV Book 03</w:t>
            </w:r>
          </w:p>
        </w:tc>
        <w:tc>
          <w:tcPr/>
          <w:p>
            <w:pPr>
              <w:pStyle w:val="Compact"/>
            </w:pPr>
            <w:r>
              <w:t xml:space="preserve">Program Management Governance</w:t>
            </w:r>
          </w:p>
        </w:tc>
        <w:tc>
          <w:tcPr/>
          <w:p>
            <w:pPr>
              <w:pStyle w:val="Compact"/>
            </w:pPr>
            <w:r>
              <w:t xml:space="preserve">PM-1/2/5/7/9/11/14/15/30</w:t>
            </w:r>
          </w:p>
        </w:tc>
      </w:tr>
      <w:tr>
        <w:tc>
          <w:tcPr/>
          <w:p>
            <w:pPr>
              <w:pStyle w:val="Compact"/>
            </w:pPr>
            <w:r>
              <w:t xml:space="preserve">Vol IV Book 04</w:t>
            </w:r>
          </w:p>
        </w:tc>
        <w:tc>
          <w:tcPr/>
          <w:p>
            <w:pPr>
              <w:pStyle w:val="Compact"/>
            </w:pPr>
            <w:r>
              <w:t xml:space="preserve">PII Processing and Transparency</w:t>
            </w:r>
          </w:p>
        </w:tc>
        <w:tc>
          <w:tcPr/>
          <w:p>
            <w:pPr>
              <w:pStyle w:val="Compact"/>
            </w:pPr>
            <w:r>
              <w:t xml:space="preserve">PT-1/2/3/4/5/7</w:t>
            </w:r>
          </w:p>
        </w:tc>
      </w:tr>
      <w:tr>
        <w:tc>
          <w:tcPr/>
          <w:p>
            <w:pPr>
              <w:pStyle w:val="Compact"/>
            </w:pPr>
            <w:r>
              <w:t xml:space="preserve">Vol IV Book 05</w:t>
            </w:r>
          </w:p>
        </w:tc>
        <w:tc>
          <w:tcPr/>
          <w:p>
            <w:pPr>
              <w:pStyle w:val="Compact"/>
            </w:pPr>
            <w:r>
              <w:t xml:space="preserve">Cybersecurity Awareness and Training</w:t>
            </w:r>
          </w:p>
        </w:tc>
        <w:tc>
          <w:tcPr/>
          <w:p>
            <w:pPr>
              <w:pStyle w:val="Compact"/>
            </w:pPr>
            <w:r>
              <w:t xml:space="preserve">AT-2, AT-2(1)/2, AT-3, AT-3(3)/5, AT-4, CP-3, IR-2</w:t>
            </w:r>
          </w:p>
        </w:tc>
      </w:tr>
    </w:tbl>
    <w:bookmarkEnd w:id="223"/>
    <w:bookmarkStart w:id="224" w:name="ksi-scorecard"/>
    <w:p>
      <w:pPr>
        <w:pStyle w:val="Heading2"/>
      </w:pPr>
      <w:r>
        <w:t xml:space="preserve">1.2 KSI Scorecard</w:t>
      </w:r>
    </w:p>
    <w:p>
      <w:pPr>
        <w:pStyle w:val="FirstParagraph"/>
      </w:pPr>
      <w:r>
        <w:t xml:space="preserve">The governance engine’s conformance adapter evaluates all 29 internal KSI rules against the</w:t>
      </w:r>
      <w:r>
        <w:t xml:space="preserve"> </w:t>
      </w:r>
      <w:r>
        <w:t xml:space="preserve">Compliance slot evidence. As of July 4, 2026 (self-assessment — pending independent SCA):</w:t>
      </w:r>
    </w:p>
    <w:p>
      <w:pPr>
        <w:pStyle w:val="TableCaption"/>
      </w:pPr>
      <w:r>
        <w:t xml:space="preserve">KSI Evaluation Summary — 29/29 Evaluable at High Confidence (Self-Assessed)</w:t>
      </w:r>
    </w:p>
    <w:tbl>
      <w:tblPr>
        <w:tblStyle w:val="Table"/>
        <w:tblW w:type="pct" w:w="5000"/>
        <w:tblLayout w:type="fixed"/>
        <w:tblLook w:firstRow="1" w:lastRow="0" w:firstColumn="0" w:lastColumn="0" w:noHBand="0" w:noVBand="0" w:val="0020"/>
        <w:tblCaption w:val="KSI Evaluation Summary — 29/29 Evaluable at High Confidence (Self-Assessed)"/>
      </w:tblPr>
      <w:tblGrid>
        <w:gridCol w:w="3090"/>
        <w:gridCol w:w="1352"/>
        <w:gridCol w:w="1738"/>
        <w:gridCol w:w="1738"/>
      </w:tblGrid>
      <w:tr>
        <w:trPr>
          <w:tblHeader w:val="on"/>
        </w:trPr>
        <w:tc>
          <w:tcPr/>
          <w:p>
            <w:pPr>
              <w:pStyle w:val="Compact"/>
            </w:pPr>
            <w:r>
              <w:t xml:space="preserve">Evaluation Path</w:t>
            </w:r>
          </w:p>
        </w:tc>
        <w:tc>
          <w:tcPr/>
          <w:p>
            <w:pPr>
              <w:pStyle w:val="Compact"/>
            </w:pPr>
            <w:r>
              <w:t xml:space="preserve">Count</w:t>
            </w:r>
          </w:p>
        </w:tc>
        <w:tc>
          <w:tcPr/>
          <w:p>
            <w:pPr>
              <w:pStyle w:val="Compact"/>
            </w:pPr>
            <w:r>
              <w:t xml:space="preserve">KSI IDs</w:t>
            </w:r>
          </w:p>
        </w:tc>
        <w:tc>
          <w:tcPr/>
          <w:p>
            <w:pPr>
              <w:pStyle w:val="Compact"/>
            </w:pPr>
            <w:r>
              <w:t xml:space="preserve">Verdict</w:t>
            </w:r>
          </w:p>
        </w:tc>
      </w:tr>
      <w:tr>
        <w:tc>
          <w:tcPr/>
          <w:p>
            <w:pPr>
              <w:pStyle w:val="Compact"/>
            </w:pPr>
            <w:r>
              <w:t xml:space="preserve">CISA ScuBA adapter (M365 continuous)</w:t>
            </w:r>
          </w:p>
        </w:tc>
        <w:tc>
          <w:tcPr/>
          <w:p>
            <w:pPr>
              <w:pStyle w:val="Compact"/>
            </w:pPr>
            <w:r>
              <w:t xml:space="preserve">10</w:t>
            </w:r>
          </w:p>
        </w:tc>
        <w:tc>
          <w:tcPr/>
          <w:p>
            <w:pPr>
              <w:pStyle w:val="Compact"/>
            </w:pPr>
            <w:r>
              <w:t xml:space="preserve">KSI-001..010</w:t>
            </w:r>
          </w:p>
        </w:tc>
        <w:tc>
          <w:tcPr/>
          <w:p>
            <w:pPr>
              <w:pStyle w:val="Compact"/>
            </w:pPr>
            <w:r>
              <w:rPr>
                <w:b/>
                <w:bCs/>
              </w:rPr>
              <w:t xml:space="preserve">satisfied</w:t>
            </w:r>
          </w:p>
        </w:tc>
      </w:tr>
      <w:tr>
        <w:tc>
          <w:tcPr/>
          <w:p>
            <w:pPr>
              <w:pStyle w:val="Compact"/>
            </w:pPr>
            <w:r>
              <w:t xml:space="preserve">Compliance slot evaluator — high confidence</w:t>
            </w:r>
          </w:p>
        </w:tc>
        <w:tc>
          <w:tcPr/>
          <w:p>
            <w:pPr>
              <w:pStyle w:val="Compact"/>
            </w:pPr>
            <w:r>
              <w:t xml:space="preserve">19</w:t>
            </w:r>
          </w:p>
        </w:tc>
        <w:tc>
          <w:tcPr/>
          <w:p>
            <w:pPr>
              <w:pStyle w:val="Compact"/>
            </w:pPr>
            <w:r>
              <w:t xml:space="preserve">KSI-011..029</w:t>
            </w:r>
          </w:p>
        </w:tc>
        <w:tc>
          <w:tcPr/>
          <w:p>
            <w:pPr>
              <w:pStyle w:val="Compact"/>
            </w:pPr>
            <w:r>
              <w:rPr>
                <w:b/>
                <w:bCs/>
              </w:rPr>
              <w:t xml:space="preserve">satisfied</w:t>
            </w:r>
          </w:p>
        </w:tc>
      </w:tr>
      <w:tr>
        <w:tc>
          <w:tcPr/>
          <w:p>
            <w:pPr>
              <w:pStyle w:val="Compact"/>
            </w:pPr>
            <w:r>
              <w:t xml:space="preserve">Scaffold (pending evidence)</w:t>
            </w:r>
          </w:p>
        </w:tc>
        <w:tc>
          <w:tcPr/>
          <w:p>
            <w:pPr>
              <w:pStyle w:val="Compact"/>
            </w:pPr>
            <w:r>
              <w:t xml:space="preserve">0</w:t>
            </w:r>
          </w:p>
        </w:tc>
        <w:tc>
          <w:tcPr/>
          <w:p>
            <w:pPr>
              <w:pStyle w:val="Compact"/>
            </w:pPr>
            <w:r>
              <w:t xml:space="preserve">—</w:t>
            </w:r>
          </w:p>
        </w:tc>
        <w:tc>
          <w:tcPr/>
          <w:p>
            <w:pPr>
              <w:pStyle w:val="Compact"/>
            </w:pPr>
            <w:r>
              <w:t xml:space="preserve">—</w:t>
            </w:r>
          </w:p>
        </w:tc>
      </w:tr>
    </w:tbl>
    <w:p>
      <w:pPr>
        <w:pStyle w:val="BodyText"/>
      </w:pPr>
      <w:r>
        <w:t xml:space="preserve">All 29 rules in scope evaluated at high confidence in the current self-assessment</w:t>
      </w:r>
      <w:r>
        <w:t xml:space="preserve"> </w:t>
      </w:r>
      <w:r>
        <w:t xml:space="preserve">run. Zero open risks identified</w:t>
      </w:r>
      <w:r>
        <w:t xml:space="preserve"> </w:t>
      </w:r>
      <w:r>
        <w:rPr>
          <w:b/>
          <w:bCs/>
        </w:rPr>
        <w:t xml:space="preserve">in the series’ internal KSI decomposition</w:t>
      </w:r>
      <w:r>
        <w:t xml:space="preserve">; zero POA&amp;M</w:t>
      </w:r>
      <w:r>
        <w:t xml:space="preserve"> </w:t>
      </w:r>
      <w:r>
        <w:t xml:space="preserve">items generated</w:t>
      </w:r>
      <w:r>
        <w:t xml:space="preserve"> </w:t>
      </w:r>
      <w:r>
        <w:rPr>
          <w:b/>
          <w:bCs/>
        </w:rPr>
        <w:t xml:space="preserve">against that rule set</w:t>
      </w:r>
      <w:r>
        <w:t xml:space="preserve"> </w:t>
      </w:r>
      <w:r>
        <w:t xml:space="preserve">— the POA&amp;M is expected to be non-empty</w:t>
      </w:r>
      <w:r>
        <w:t xml:space="preserve"> </w:t>
      </w:r>
      <w:r>
        <w:t xml:space="preserve">once the 27 not-yet-mapped CR26 indicators are reconciled (see</w:t>
      </w:r>
      <w:r>
        <w:t xml:space="preserve"> </w:t>
      </w:r>
      <w:r>
        <w:rPr>
          <w:rStyle w:val="VerbatimChar"/>
        </w:rPr>
        <w:t xml:space="preserve">Compliance_CR26_Reconciliation.md</w:t>
      </w:r>
      <w:r>
        <w:t xml:space="preserve">) and assessed. These results are advisory pending</w:t>
      </w:r>
      <w:r>
        <w:t xml:space="preserve"> </w:t>
      </w:r>
      <w:r>
        <w:t xml:space="preserve">independent security control assessment (SCA). The OSCAL</w:t>
      </w:r>
      <w:r>
        <w:t xml:space="preserve"> </w:t>
      </w:r>
      <w:r>
        <w:t xml:space="preserve">Assessment Results (AR) document is the machine-readable CA-2 deliverable.</w:t>
      </w:r>
    </w:p>
    <w:p>
      <w:pPr>
        <w:pStyle w:val="BodyText"/>
      </w:pPr>
      <w:r>
        <w:t xml:space="preserve">The authoritative closure-necessity view of these rules — which of the 29 KSIs</w:t>
      </w:r>
      <w:r>
        <w:t xml:space="preserve"> </w:t>
      </w:r>
      <w:r>
        <w:t xml:space="preserve">are attestable by conformance tooling alone, and which close only because a</w:t>
      </w:r>
      <w:r>
        <w:t xml:space="preserve"> </w:t>
      </w:r>
      <w:r>
        <w:t xml:space="preserve">series book built the evidence slot behind them — lives in Vol 0 Book 00, in the</w:t>
      </w:r>
      <w:r>
        <w:t xml:space="preserve"> </w:t>
      </w:r>
      <w:r>
        <w:t xml:space="preserve">section</w:t>
      </w:r>
      <w:r>
        <w:t xml:space="preserve"> </w:t>
      </w:r>
      <w:r>
        <w:t xml:space="preserve">“The KSI Closure Necessity Matrix.”</w:t>
      </w:r>
      <w:r>
        <w:t xml:space="preserve"> </w:t>
      </w:r>
      <w:r>
        <w:t xml:space="preserve">This book deliberately does not</w:t>
      </w:r>
      <w:r>
        <w:t xml:space="preserve"> </w:t>
      </w:r>
      <w:r>
        <w:t xml:space="preserve">restate that matrix. What it carries is the evidence procedure layer: how each</w:t>
      </w:r>
      <w:r>
        <w:t xml:space="preserve"> </w:t>
      </w:r>
      <w:r>
        <w:t xml:space="preserve">slot’s artifacts are generated, refreshed on the ConMon cadence, and assembled</w:t>
      </w:r>
      <w:r>
        <w:t xml:space="preserve"> </w:t>
      </w:r>
      <w:r>
        <w:t xml:space="preserve">into the authorization package.</w:t>
      </w:r>
    </w:p>
    <w:p>
      <w:pPr>
        <w:pStyle w:val="BodyText"/>
      </w:pPr>
      <w:r>
        <w:t xml:space="preserve">} GCC Moderate. Top tier: Authorization Package presented to the Agency Authorizing Official (agency RMF ATO) with System Security Plan (SSP), Security Assessment Report (SAR), Plan of Action and Milestones (POA&amp;M), and Authorization Decision (Agency ATO). Second tier: OSCAL Machine-Readable Bundle — AP (Assessment Plan, 10 themes, 29 internal KSI rules), AR (Assessment Results, 29 findings, 0 open in the internal rule set — self-assessed pending CR26 reconciliation and independent SCA, 8 evidence slots), POA&amp;M (0 items in the internal rule set, expected non-empty after CR26 mapping and SCA). Third tier: Compliance Evidence Layer — the twenty-two content books (Volumes I–IV) providing infrastructure, security, governance, and training artifacts. Bottom tier: Continuous Monitoring Program — monthly OSCAL AR refresh, quarterly KSI review, annual full assessment, and ConMon dashboard via Sentinel.” width=</w:t>
      </w:r>
      <w:r>
        <w:t xml:space="preserve">“100%”</w:t>
      </w:r>
      <w:r>
        <w:t xml:space="preserve">}</w:t>
      </w:r>
    </w:p>
    <w:p>
      <w:r>
        <w:pict>
          <v:rect style="width:0;height:1.5pt" o:hralign="center" o:hrstd="t" o:hr="t"/>
        </w:pict>
      </w:r>
    </w:p>
    <w:bookmarkEnd w:id="224"/>
    <w:bookmarkEnd w:id="225"/>
    <w:bookmarkStart w:id="231" w:name="X7d46b70c40397f6c0118ffafaf8fcea05c8cc2a"/>
    <w:p>
      <w:pPr>
        <w:pStyle w:val="Heading1"/>
      </w:pPr>
      <w:r>
        <w:t xml:space="preserve">2 OSCAL Bundle — Machine-Readable KSI Evidence (CA-2, CA-5)</w:t>
      </w:r>
    </w:p>
    <w:bookmarkStart w:id="226" w:name="bundle-architecture"/>
    <w:p>
      <w:pPr>
        <w:pStyle w:val="Heading2"/>
      </w:pPr>
      <w:r>
        <w:t xml:space="preserve">2.1 Bundle Architecture</w:t>
      </w:r>
    </w:p>
    <w:p>
      <w:pPr>
        <w:pStyle w:val="FirstParagraph"/>
      </w:pPr>
      <w:r>
        <w:t xml:space="preserve">The</w:t>
      </w:r>
      <w:r>
        <w:t xml:space="preserve"> </w:t>
      </w:r>
      <w:r>
        <w:rPr>
          <w:rStyle w:val="VerbatimChar"/>
        </w:rPr>
        <w:t xml:space="preserve">&lt;engine&gt; oscal bundle</w:t>
      </w:r>
      <w:r>
        <w:t xml:space="preserve"> </w:t>
      </w:r>
      <w:r>
        <w:t xml:space="preserve">command generates three interlinked OSCAL 1.0.4 documents</w:t>
      </w:r>
      <w:r>
        <w:t xml:space="preserve"> </w:t>
      </w:r>
      <w:r>
        <w:t xml:space="preserve">that constitute the machine-readable KSI evidence package:</w:t>
      </w:r>
    </w:p>
    <w:p>
      <w:pPr>
        <w:pStyle w:val="TableCaption"/>
      </w:pPr>
      <w:r>
        <w:t xml:space="preserve">OSCAL Bundle Documents</w:t>
      </w:r>
    </w:p>
    <w:tbl>
      <w:tblPr>
        <w:tblStyle w:val="Table"/>
        <w:tblW w:type="pct" w:w="5000"/>
        <w:tblLayout w:type="fixed"/>
        <w:tblLook w:firstRow="1" w:lastRow="0" w:firstColumn="0" w:lastColumn="0" w:noHBand="0" w:noVBand="0" w:val="0020"/>
        <w:tblCaption w:val="OSCAL Bundle Documents"/>
      </w:tblPr>
      <w:tblGrid>
        <w:gridCol w:w="2084"/>
        <w:gridCol w:w="1250"/>
        <w:gridCol w:w="2709"/>
        <w:gridCol w:w="1875"/>
      </w:tblGrid>
      <w:tr>
        <w:trPr>
          <w:tblHeader w:val="on"/>
        </w:trPr>
        <w:tc>
          <w:tcPr/>
          <w:p>
            <w:pPr>
              <w:pStyle w:val="Compact"/>
            </w:pPr>
            <w:r>
              <w:t xml:space="preserve">Document</w:t>
            </w:r>
          </w:p>
        </w:tc>
        <w:tc>
          <w:tcPr/>
          <w:p>
            <w:pPr>
              <w:pStyle w:val="Compact"/>
            </w:pPr>
            <w:r>
              <w:t xml:space="preserve">File</w:t>
            </w:r>
          </w:p>
        </w:tc>
        <w:tc>
          <w:tcPr/>
          <w:p>
            <w:pPr>
              <w:pStyle w:val="Compact"/>
            </w:pPr>
            <w:r>
              <w:t xml:space="preserve">NIST Control</w:t>
            </w:r>
          </w:p>
        </w:tc>
        <w:tc>
          <w:tcPr/>
          <w:p>
            <w:pPr>
              <w:pStyle w:val="Compact"/>
            </w:pPr>
            <w:r>
              <w:t xml:space="preserve">Purpose</w:t>
            </w:r>
          </w:p>
        </w:tc>
      </w:tr>
      <w:tr>
        <w:tc>
          <w:tcPr/>
          <w:p>
            <w:pPr>
              <w:pStyle w:val="Compact"/>
            </w:pPr>
            <w:r>
              <w:t xml:space="preserve">Assessment Plan (AP)</w:t>
            </w:r>
          </w:p>
        </w:tc>
        <w:tc>
          <w:tcPr/>
          <w:p>
            <w:pPr>
              <w:pStyle w:val="Compact"/>
            </w:pPr>
            <w:r>
              <w:rPr>
                <w:rStyle w:val="VerbatimChar"/>
              </w:rPr>
              <w:t xml:space="preserve">ksi-ap.json</w:t>
            </w:r>
          </w:p>
        </w:tc>
        <w:tc>
          <w:tcPr/>
          <w:p>
            <w:pPr>
              <w:pStyle w:val="Compact"/>
            </w:pPr>
            <w:r>
              <w:t xml:space="preserve">CA-2</w:t>
            </w:r>
          </w:p>
        </w:tc>
        <w:tc>
          <w:tcPr/>
          <w:p>
            <w:pPr>
              <w:pStyle w:val="Compact"/>
            </w:pPr>
            <w:r>
              <w:t xml:space="preserve">Documents what was assessed, which controls, and by which method</w:t>
            </w:r>
          </w:p>
        </w:tc>
      </w:tr>
      <w:tr>
        <w:tc>
          <w:tcPr/>
          <w:p>
            <w:pPr>
              <w:pStyle w:val="Compact"/>
            </w:pPr>
            <w:r>
              <w:t xml:space="preserve">Assessment Results (AR)</w:t>
            </w:r>
          </w:p>
        </w:tc>
        <w:tc>
          <w:tcPr/>
          <w:p>
            <w:pPr>
              <w:pStyle w:val="Compact"/>
            </w:pPr>
            <w:r>
              <w:rPr>
                <w:rStyle w:val="VerbatimChar"/>
              </w:rPr>
              <w:t xml:space="preserve">ksi-ar.json</w:t>
            </w:r>
          </w:p>
        </w:tc>
        <w:tc>
          <w:tcPr/>
          <w:p>
            <w:pPr>
              <w:pStyle w:val="Compact"/>
            </w:pPr>
            <w:r>
              <w:t xml:space="preserve">CA-2, RA-3</w:t>
            </w:r>
          </w:p>
        </w:tc>
        <w:tc>
          <w:tcPr/>
          <w:p>
            <w:pPr>
              <w:pStyle w:val="Compact"/>
            </w:pPr>
            <w:r>
              <w:t xml:space="preserve">Records findings, verdicts, and risks for all 29 KSIs</w:t>
            </w:r>
          </w:p>
        </w:tc>
      </w:tr>
      <w:tr>
        <w:tc>
          <w:tcPr/>
          <w:p>
            <w:pPr>
              <w:pStyle w:val="Compact"/>
            </w:pPr>
            <w:r>
              <w:t xml:space="preserve">Plan of Action and Milestones (POA&amp;M)</w:t>
            </w:r>
          </w:p>
        </w:tc>
        <w:tc>
          <w:tcPr/>
          <w:p>
            <w:pPr>
              <w:pStyle w:val="Compact"/>
            </w:pPr>
            <w:r>
              <w:rPr>
                <w:rStyle w:val="VerbatimChar"/>
              </w:rPr>
              <w:t xml:space="preserve">ksi-poam.json</w:t>
            </w:r>
          </w:p>
        </w:tc>
        <w:tc>
          <w:tcPr/>
          <w:p>
            <w:pPr>
              <w:pStyle w:val="Compact"/>
            </w:pPr>
            <w:r>
              <w:t xml:space="preserve">CA-5</w:t>
            </w:r>
          </w:p>
        </w:tc>
        <w:tc>
          <w:tcPr/>
          <w:p>
            <w:pPr>
              <w:pStyle w:val="Compact"/>
            </w:pPr>
            <w:r>
              <w:t xml:space="preserve">Lists open findings and remediation milestones (zero items currently)</w:t>
            </w:r>
          </w:p>
        </w:tc>
      </w:tr>
    </w:tbl>
    <w:p>
      <w:pPr>
        <w:pStyle w:val="BodyText"/>
      </w:pPr>
      <w:r>
        <w:t xml:space="preserve">The three documents are linked by UUID reference:</w:t>
      </w:r>
    </w:p>
    <w:p>
      <w:pPr>
        <w:pStyle w:val="Compact"/>
        <w:numPr>
          <w:ilvl w:val="0"/>
          <w:numId w:val="1076"/>
        </w:numPr>
      </w:pPr>
      <w:r>
        <w:t xml:space="preserve">The AP specifies what was planned (</w:t>
      </w:r>
      <w:r>
        <w:rPr>
          <w:rStyle w:val="VerbatimChar"/>
        </w:rPr>
        <w:t xml:space="preserve">assessment-plan.uuid</w:t>
      </w:r>
      <w:r>
        <w:t xml:space="preserve">)</w:t>
      </w:r>
    </w:p>
    <w:p>
      <w:pPr>
        <w:pStyle w:val="Compact"/>
        <w:numPr>
          <w:ilvl w:val="0"/>
          <w:numId w:val="1076"/>
        </w:numPr>
      </w:pPr>
      <w:r>
        <w:t xml:space="preserve">The AR imports the AP (</w:t>
      </w:r>
      <w:r>
        <w:rPr>
          <w:rStyle w:val="VerbatimChar"/>
        </w:rPr>
        <w:t xml:space="preserve">import-ap.href = "#&lt;ap-uuid&gt;"</w:t>
      </w:r>
      <w:r>
        <w:t xml:space="preserve">) and records results</w:t>
      </w:r>
    </w:p>
    <w:p>
      <w:pPr>
        <w:pStyle w:val="Compact"/>
        <w:numPr>
          <w:ilvl w:val="0"/>
          <w:numId w:val="1076"/>
        </w:numPr>
      </w:pPr>
      <w:r>
        <w:t xml:space="preserve">The POA&amp;M imports the AP (</w:t>
      </w:r>
      <w:r>
        <w:rPr>
          <w:rStyle w:val="VerbatimChar"/>
        </w:rPr>
        <w:t xml:space="preserve">import-ap.href = "#&lt;ap-uuid&gt;"</w:t>
      </w:r>
      <w:r>
        <w:t xml:space="preserve">) and references AR observations</w:t>
      </w:r>
    </w:p>
    <w:bookmarkEnd w:id="226"/>
    <w:bookmarkStart w:id="227" w:name="generating-the-bundle"/>
    <w:p>
      <w:pPr>
        <w:pStyle w:val="Heading2"/>
      </w:pPr>
      <w:r>
        <w:t xml:space="preserve">2.2 Generating the Bundle</w:t>
      </w:r>
    </w:p>
    <w:p>
      <w:pPr>
        <w:pStyle w:val="SourceCode"/>
      </w:pPr>
      <w:r>
        <w:rPr>
          <w:rStyle w:val="CommentTok"/>
        </w:rPr>
        <w:t xml:space="preserve"># Generate AP + AR + POA&amp;M for the Agency GCC Moderate boundary</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bundle</w:t>
      </w:r>
      <w:r>
        <w:rPr>
          <w:rStyle w:val="NormalTok"/>
        </w:rPr>
        <w:t xml:space="preserve"> </w:t>
      </w:r>
      <w:r>
        <w:rPr>
          <w:rStyle w:val="DataTypeTok"/>
        </w:rPr>
        <w:t xml:space="preserve">\</w:t>
      </w:r>
      <w:r>
        <w:br/>
      </w:r>
      <w:r>
        <w:rPr>
          <w:rStyle w:val="NormalTok"/>
        </w:rPr>
        <w:t xml:space="preserve"> </w:t>
      </w:r>
      <w:r>
        <w:rPr>
          <w:rStyle w:val="AttributeTok"/>
        </w:rPr>
        <w:t xml:space="preserve">--system-name</w:t>
      </w:r>
      <w:r>
        <w:rPr>
          <w:rStyle w:val="NormalTok"/>
        </w:rPr>
        <w:t xml:space="preserve"> </w:t>
      </w:r>
      <w:r>
        <w:rPr>
          <w:rStyle w:val="StringTok"/>
        </w:rPr>
        <w:t xml:space="preserve">"Agency GCC Moderate"</w:t>
      </w:r>
      <w:r>
        <w:rPr>
          <w:rStyle w:val="NormalTok"/>
        </w:rPr>
        <w:t xml:space="preserve"> </w:t>
      </w:r>
      <w:r>
        <w:rPr>
          <w:rStyle w:val="DataTypeTok"/>
        </w:rPr>
        <w:t xml:space="preserve">\</w:t>
      </w:r>
      <w:r>
        <w:br/>
      </w:r>
      <w:r>
        <w:rPr>
          <w:rStyle w:val="NormalTok"/>
        </w:rPr>
        <w:t xml:space="preserve"> </w:t>
      </w:r>
      <w:r>
        <w:rPr>
          <w:rStyle w:val="AttributeTok"/>
        </w:rPr>
        <w:t xml:space="preserve">--output-dir</w:t>
      </w:r>
      <w:r>
        <w:rPr>
          <w:rStyle w:val="NormalTok"/>
        </w:rPr>
        <w:t xml:space="preserve"> output/artifacts/ksi-bundle</w:t>
      </w:r>
      <w:r>
        <w:br/>
      </w:r>
      <w:r>
        <w:br/>
      </w:r>
      <w:r>
        <w:rPr>
          <w:rStyle w:val="CommentTok"/>
        </w:rPr>
        <w:t xml:space="preserve"># Output:</w:t>
      </w:r>
      <w:r>
        <w:br/>
      </w:r>
      <w:r>
        <w:rPr>
          <w:rStyle w:val="CommentTok"/>
        </w:rPr>
        <w:t xml:space="preserve"># output/artifacts/ksi-bundle/ksi-ap.json</w:t>
      </w:r>
      <w:r>
        <w:br/>
      </w:r>
      <w:r>
        <w:rPr>
          <w:rStyle w:val="CommentTok"/>
        </w:rPr>
        <w:t xml:space="preserve"># output/artifacts/ksi-bundle/ksi-ar.json</w:t>
      </w:r>
      <w:r>
        <w:br/>
      </w:r>
      <w:r>
        <w:rPr>
          <w:rStyle w:val="CommentTok"/>
        </w:rPr>
        <w:t xml:space="preserve"># output/artifacts/ksi-bundle/ksi-poam.json</w:t>
      </w:r>
      <w:r>
        <w:br/>
      </w:r>
      <w:r>
        <w:rPr>
          <w:rStyle w:val="CommentTok"/>
        </w:rPr>
        <w:t xml:space="preserve"># output/artifacts/ksi-bundle/artifact-index.json</w:t>
      </w:r>
    </w:p>
    <w:p>
      <w:pPr>
        <w:pStyle w:val="FirstParagraph"/>
      </w:pPr>
      <w:r>
        <w:t xml:space="preserve">The bundle is regenerated as part of ConMon cadence — monthly for ongoing</w:t>
      </w:r>
      <w:r>
        <w:t xml:space="preserve"> </w:t>
      </w:r>
      <w:r>
        <w:t xml:space="preserve">monitoring, and on-demand for the authorization package assembly.</w:t>
      </w:r>
    </w:p>
    <w:bookmarkEnd w:id="227"/>
    <w:bookmarkStart w:id="228" w:name="assessment-plan-structure"/>
    <w:p>
      <w:pPr>
        <w:pStyle w:val="Heading2"/>
      </w:pPr>
      <w:r>
        <w:t xml:space="preserve">2.3 Assessment Plan Structure</w:t>
      </w:r>
    </w:p>
    <w:p>
      <w:pPr>
        <w:pStyle w:val="FirstParagraph"/>
      </w:pPr>
      <w:r>
        <w:t xml:space="preserve">The AP is organized around the ten KSI themes from FedRAMP 20x:</w:t>
      </w:r>
    </w:p>
    <w:p>
      <w:pPr>
        <w:pStyle w:val="TableCaption"/>
      </w:pPr>
      <w:r>
        <w:t xml:space="preserve">KSI Themes and Evidence Slots</w:t>
      </w:r>
    </w:p>
    <w:tbl>
      <w:tblPr>
        <w:tblStyle w:val="Table"/>
        <w:tblW w:type="pct" w:w="5000"/>
        <w:tblLayout w:type="fixed"/>
        <w:tblLook w:firstRow="1" w:lastRow="0" w:firstColumn="0" w:lastColumn="0" w:noHBand="0" w:noVBand="0" w:val="0020"/>
        <w:tblCaption w:val="KSI Themes and Evidence Slots"/>
      </w:tblPr>
      <w:tblGrid>
        <w:gridCol w:w="1584"/>
        <w:gridCol w:w="2489"/>
        <w:gridCol w:w="3846"/>
      </w:tblGrid>
      <w:tr>
        <w:trPr>
          <w:tblHeader w:val="on"/>
        </w:trPr>
        <w:tc>
          <w:tcPr/>
          <w:p>
            <w:pPr>
              <w:pStyle w:val="Compact"/>
            </w:pPr>
            <w:r>
              <w:t xml:space="preserve">Theme</w:t>
            </w:r>
          </w:p>
        </w:tc>
        <w:tc>
          <w:tcPr/>
          <w:p>
            <w:pPr>
              <w:pStyle w:val="Compact"/>
            </w:pPr>
            <w:r>
              <w:t xml:space="preserve">KSI Rules</w:t>
            </w:r>
          </w:p>
        </w:tc>
        <w:tc>
          <w:tcPr/>
          <w:p>
            <w:pPr>
              <w:pStyle w:val="Compact"/>
            </w:pPr>
            <w:r>
              <w:t xml:space="preserve">Evidence Slot(s)</w:t>
            </w:r>
          </w:p>
        </w:tc>
      </w:tr>
      <w:tr>
        <w:tc>
          <w:tcPr/>
          <w:p>
            <w:pPr>
              <w:pStyle w:val="Compact"/>
            </w:pPr>
            <w:r>
              <w:t xml:space="preserve">KSI-IAM</w:t>
            </w:r>
          </w:p>
        </w:tc>
        <w:tc>
          <w:tcPr/>
          <w:p>
            <w:pPr>
              <w:pStyle w:val="Compact"/>
            </w:pPr>
            <w:r>
              <w:t xml:space="preserve">KSI-001, KSI-002, KSI-003, KSI-009</w:t>
            </w:r>
          </w:p>
        </w:tc>
        <w:tc>
          <w:tcPr/>
          <w:p>
            <w:pPr>
              <w:pStyle w:val="Compact"/>
            </w:pPr>
            <w:r>
              <w:t xml:space="preserve">slot-01 identity; ScuBA</w:t>
            </w:r>
          </w:p>
        </w:tc>
      </w:tr>
      <w:tr>
        <w:tc>
          <w:tcPr/>
          <w:p>
            <w:pPr>
              <w:pStyle w:val="Compact"/>
            </w:pPr>
            <w:r>
              <w:t xml:space="preserve">KSI-SVC</w:t>
            </w:r>
          </w:p>
        </w:tc>
        <w:tc>
          <w:tcPr/>
          <w:p>
            <w:pPr>
              <w:pStyle w:val="Compact"/>
            </w:pPr>
            <w:r>
              <w:t xml:space="preserve">KSI-004, KSI-007, KSI-008</w:t>
            </w:r>
          </w:p>
        </w:tc>
        <w:tc>
          <w:tcPr/>
          <w:p>
            <w:pPr>
              <w:pStyle w:val="Compact"/>
            </w:pPr>
            <w:r>
              <w:t xml:space="preserve">slot-03/04; ScuBA</w:t>
            </w:r>
          </w:p>
        </w:tc>
      </w:tr>
      <w:tr>
        <w:tc>
          <w:tcPr/>
          <w:p>
            <w:pPr>
              <w:pStyle w:val="Compact"/>
            </w:pPr>
            <w:r>
              <w:t xml:space="preserve">KSI-CNA</w:t>
            </w:r>
          </w:p>
        </w:tc>
        <w:tc>
          <w:tcPr/>
          <w:p>
            <w:pPr>
              <w:pStyle w:val="Compact"/>
            </w:pPr>
            <w:r>
              <w:t xml:space="preserve">KSI-008</w:t>
            </w:r>
          </w:p>
        </w:tc>
        <w:tc>
          <w:tcPr/>
          <w:p>
            <w:pPr>
              <w:pStyle w:val="Compact"/>
            </w:pPr>
            <w:r>
              <w:t xml:space="preserve">slot-03; ScuBA</w:t>
            </w:r>
          </w:p>
        </w:tc>
      </w:tr>
      <w:tr>
        <w:tc>
          <w:tcPr/>
          <w:p>
            <w:pPr>
              <w:pStyle w:val="Compact"/>
            </w:pPr>
            <w:r>
              <w:t xml:space="preserve">KSI-MLA</w:t>
            </w:r>
          </w:p>
        </w:tc>
        <w:tc>
          <w:tcPr/>
          <w:p>
            <w:pPr>
              <w:pStyle w:val="Compact"/>
            </w:pPr>
            <w:r>
              <w:t xml:space="preserve">KSI-005, KSI-006, KSI-010</w:t>
            </w:r>
          </w:p>
        </w:tc>
        <w:tc>
          <w:tcPr/>
          <w:p>
            <w:pPr>
              <w:pStyle w:val="Compact"/>
            </w:pPr>
            <w:r>
              <w:t xml:space="preserve">slot-02/04; ScuBA</w:t>
            </w:r>
          </w:p>
        </w:tc>
      </w:tr>
      <w:tr>
        <w:tc>
          <w:tcPr/>
          <w:p>
            <w:pPr>
              <w:pStyle w:val="Compact"/>
            </w:pPr>
            <w:r>
              <w:t xml:space="preserve">KSI-CMT</w:t>
            </w:r>
          </w:p>
        </w:tc>
        <w:tc>
          <w:tcPr/>
          <w:p>
            <w:pPr>
              <w:pStyle w:val="Compact"/>
            </w:pPr>
            <w:r>
              <w:t xml:space="preserve">KSI-011–014</w:t>
            </w:r>
          </w:p>
        </w:tc>
        <w:tc>
          <w:tcPr/>
          <w:p>
            <w:pPr>
              <w:pStyle w:val="Compact"/>
            </w:pPr>
            <w:r>
              <w:t xml:space="preserve">slot-06 security</w:t>
            </w:r>
          </w:p>
        </w:tc>
      </w:tr>
      <w:tr>
        <w:tc>
          <w:tcPr/>
          <w:p>
            <w:pPr>
              <w:pStyle w:val="Compact"/>
            </w:pPr>
            <w:r>
              <w:t xml:space="preserve">KSI-SCR</w:t>
            </w:r>
          </w:p>
        </w:tc>
        <w:tc>
          <w:tcPr/>
          <w:p>
            <w:pPr>
              <w:pStyle w:val="Compact"/>
            </w:pPr>
            <w:r>
              <w:t xml:space="preserve">KSI-015, KSI-016</w:t>
            </w:r>
          </w:p>
        </w:tc>
        <w:tc>
          <w:tcPr/>
          <w:p>
            <w:pPr>
              <w:pStyle w:val="Compact"/>
            </w:pPr>
            <w:r>
              <w:t xml:space="preserve">slot-06 security</w:t>
            </w:r>
          </w:p>
        </w:tc>
      </w:tr>
      <w:tr>
        <w:tc>
          <w:tcPr/>
          <w:p>
            <w:pPr>
              <w:pStyle w:val="Compact"/>
            </w:pPr>
            <w:r>
              <w:t xml:space="preserve">KSI-PIY</w:t>
            </w:r>
          </w:p>
        </w:tc>
        <w:tc>
          <w:tcPr/>
          <w:p>
            <w:pPr>
              <w:pStyle w:val="Compact"/>
            </w:pPr>
            <w:r>
              <w:t xml:space="preserve">KSI-017–021</w:t>
            </w:r>
          </w:p>
        </w:tc>
        <w:tc>
          <w:tcPr/>
          <w:p>
            <w:pPr>
              <w:pStyle w:val="Compact"/>
            </w:pPr>
            <w:r>
              <w:t xml:space="preserve">slot-05 endpoint</w:t>
            </w:r>
          </w:p>
        </w:tc>
      </w:tr>
      <w:tr>
        <w:tc>
          <w:tcPr/>
          <w:p>
            <w:pPr>
              <w:pStyle w:val="Compact"/>
            </w:pPr>
            <w:r>
              <w:t xml:space="preserve">KSI-INR</w:t>
            </w:r>
          </w:p>
        </w:tc>
        <w:tc>
          <w:tcPr/>
          <w:p>
            <w:pPr>
              <w:pStyle w:val="Compact"/>
            </w:pPr>
            <w:r>
              <w:t xml:space="preserve">KSI-023–025</w:t>
            </w:r>
          </w:p>
        </w:tc>
        <w:tc>
          <w:tcPr/>
          <w:p>
            <w:pPr>
              <w:pStyle w:val="Compact"/>
            </w:pPr>
            <w:r>
              <w:t xml:space="preserve">slot-04/07</w:t>
            </w:r>
          </w:p>
        </w:tc>
      </w:tr>
      <w:tr>
        <w:tc>
          <w:tcPr/>
          <w:p>
            <w:pPr>
              <w:pStyle w:val="Compact"/>
            </w:pPr>
            <w:r>
              <w:t xml:space="preserve">KSI-RPL</w:t>
            </w:r>
          </w:p>
        </w:tc>
        <w:tc>
          <w:tcPr/>
          <w:p>
            <w:pPr>
              <w:pStyle w:val="Compact"/>
            </w:pPr>
            <w:r>
              <w:t xml:space="preserve">KSI-026–029</w:t>
            </w:r>
          </w:p>
        </w:tc>
        <w:tc>
          <w:tcPr/>
          <w:p>
            <w:pPr>
              <w:pStyle w:val="Compact"/>
            </w:pPr>
            <w:r>
              <w:t xml:space="preserve">slot-07 continuity</w:t>
            </w:r>
          </w:p>
        </w:tc>
      </w:tr>
      <w:tr>
        <w:tc>
          <w:tcPr/>
          <w:p>
            <w:pPr>
              <w:pStyle w:val="Compact"/>
            </w:pPr>
            <w:r>
              <w:t xml:space="preserve">KSI-CED</w:t>
            </w:r>
          </w:p>
        </w:tc>
        <w:tc>
          <w:tcPr/>
          <w:p>
            <w:pPr>
              <w:pStyle w:val="Compact"/>
            </w:pPr>
            <w:r>
              <w:t xml:space="preserve">KSI-022</w:t>
            </w:r>
          </w:p>
        </w:tc>
        <w:tc>
          <w:tcPr/>
          <w:p>
            <w:pPr>
              <w:pStyle w:val="Compact"/>
            </w:pPr>
            <w:r>
              <w:t xml:space="preserve">slot-08 training</w:t>
            </w:r>
          </w:p>
        </w:tc>
      </w:tr>
    </w:tbl>
    <w:bookmarkEnd w:id="228"/>
    <w:bookmarkStart w:id="229" w:name="assessment-results-finding-structure"/>
    <w:p>
      <w:pPr>
        <w:pStyle w:val="Heading2"/>
      </w:pPr>
      <w:r>
        <w:t xml:space="preserve">2.4 Assessment Results — Finding Structure</w:t>
      </w:r>
    </w:p>
    <w:p>
      <w:pPr>
        <w:pStyle w:val="FirstParagraph"/>
      </w:pPr>
      <w:r>
        <w:t xml:space="preserve">Each of the 29 findings in the AR carries:</w:t>
      </w:r>
    </w:p>
    <w:p>
      <w:pPr>
        <w:pStyle w:val="Compact"/>
        <w:numPr>
          <w:ilvl w:val="0"/>
          <w:numId w:val="1077"/>
        </w:numPr>
      </w:pPr>
      <w:r>
        <w:rPr>
          <w:b/>
          <w:bCs/>
        </w:rPr>
        <w:t xml:space="preserve">target.status.state</w:t>
      </w:r>
      <w:r>
        <w:t xml:space="preserve">:</w:t>
      </w:r>
      <w:r>
        <w:t xml:space="preserve"> </w:t>
      </w:r>
      <w:r>
        <w:rPr>
          <w:rStyle w:val="VerbatimChar"/>
        </w:rPr>
        <w:t xml:space="preserve">satisfied</w:t>
      </w:r>
      <w:r>
        <w:t xml:space="preserve"> </w:t>
      </w:r>
      <w:r>
        <w:t xml:space="preserve">/</w:t>
      </w:r>
      <w:r>
        <w:t xml:space="preserve"> </w:t>
      </w:r>
      <w:r>
        <w:rPr>
          <w:rStyle w:val="VerbatimChar"/>
        </w:rPr>
        <w:t xml:space="preserve">not-satisfied</w:t>
      </w:r>
      <w:r>
        <w:t xml:space="preserve"> </w:t>
      </w:r>
      <w:r>
        <w:t xml:space="preserve">/</w:t>
      </w:r>
      <w:r>
        <w:t xml:space="preserve"> </w:t>
      </w:r>
      <w:r>
        <w:rPr>
          <w:rStyle w:val="VerbatimChar"/>
        </w:rPr>
        <w:t xml:space="preserve">other</w:t>
      </w:r>
    </w:p>
    <w:p>
      <w:pPr>
        <w:pStyle w:val="Compact"/>
        <w:numPr>
          <w:ilvl w:val="0"/>
          <w:numId w:val="1077"/>
        </w:numPr>
      </w:pPr>
      <w:r>
        <w:rPr>
          <w:b/>
          <w:bCs/>
        </w:rPr>
        <w:t xml:space="preserve">props</w:t>
      </w:r>
      <w:r>
        <w:t xml:space="preserve">:</w:t>
      </w:r>
      <w:r>
        <w:t xml:space="preserve"> </w:t>
      </w:r>
      <w:r>
        <w:rPr>
          <w:rStyle w:val="VerbatimChar"/>
        </w:rPr>
        <w:t xml:space="preserve">ksi-id</w:t>
      </w:r>
      <w:r>
        <w:t xml:space="preserve">,</w:t>
      </w:r>
      <w:r>
        <w:t xml:space="preserve"> </w:t>
      </w:r>
      <w:r>
        <w:rPr>
          <w:rStyle w:val="VerbatimChar"/>
        </w:rPr>
        <w:t xml:space="preserve">verdict</w:t>
      </w:r>
      <w:r>
        <w:t xml:space="preserve">,</w:t>
      </w:r>
      <w:r>
        <w:t xml:space="preserve"> </w:t>
      </w:r>
      <w:r>
        <w:rPr>
          <w:rStyle w:val="VerbatimChar"/>
        </w:rPr>
        <w:t xml:space="preserve">cr26-control</w:t>
      </w:r>
      <w:r>
        <w:t xml:space="preserve">,</w:t>
      </w:r>
      <w:r>
        <w:t xml:space="preserve"> </w:t>
      </w:r>
      <w:r>
        <w:rPr>
          <w:rStyle w:val="VerbatimChar"/>
        </w:rPr>
        <w:t xml:space="preserve">mapping-confidence</w:t>
      </w:r>
    </w:p>
    <w:p>
      <w:pPr>
        <w:pStyle w:val="Compact"/>
        <w:numPr>
          <w:ilvl w:val="0"/>
          <w:numId w:val="1077"/>
        </w:numPr>
      </w:pPr>
      <w:r>
        <w:rPr>
          <w:b/>
          <w:bCs/>
        </w:rPr>
        <w:t xml:space="preserve">observations</w:t>
      </w:r>
      <w:r>
        <w:t xml:space="preserve">: linked observation with description, artifact refs, and slot IDs</w:t>
      </w:r>
    </w:p>
    <w:p>
      <w:pPr>
        <w:pStyle w:val="Compact"/>
        <w:numPr>
          <w:ilvl w:val="0"/>
          <w:numId w:val="1077"/>
        </w:numPr>
      </w:pPr>
      <w:r>
        <w:rPr>
          <w:b/>
          <w:bCs/>
        </w:rPr>
        <w:t xml:space="preserve">risks</w:t>
      </w:r>
      <w:r>
        <w:t xml:space="preserve">: open only for</w:t>
      </w:r>
      <w:r>
        <w:t xml:space="preserve"> </w:t>
      </w:r>
      <w:r>
        <w:rPr>
          <w:rStyle w:val="VerbatimChar"/>
        </w:rPr>
        <w:t xml:space="preserve">not-satisfied</w:t>
      </w:r>
      <w:r>
        <w:t xml:space="preserve"> </w:t>
      </w:r>
      <w:r>
        <w:t xml:space="preserve">findings (zero in current run)</w:t>
      </w:r>
    </w:p>
    <w:p>
      <w:pPr>
        <w:pStyle w:val="FirstParagraph"/>
      </w:pPr>
      <w:r>
        <w:t xml:space="preserve">The AR is the machine-readable equivalent of a Security Assessment Report (SAR)</w:t>
      </w:r>
      <w:r>
        <w:t xml:space="preserve"> </w:t>
      </w:r>
      <w:r>
        <w:t xml:space="preserve">for the KSI evidence dimension. It satisfies</w:t>
      </w:r>
      <w:r>
        <w:t xml:space="preserve"> </w:t>
      </w:r>
      <w:r>
        <w:rPr>
          <w:b/>
          <w:bCs/>
        </w:rPr>
        <w:t xml:space="preserve">CA-2 (Security Assessments)</w:t>
      </w:r>
      <w:r>
        <w:t xml:space="preserve"> </w:t>
      </w:r>
      <w:r>
        <w:t xml:space="preserve">by</w:t>
      </w:r>
      <w:r>
        <w:t xml:space="preserve"> </w:t>
      </w:r>
      <w:r>
        <w:t xml:space="preserve">providing a documented, repeatable, automated assessment of all KSI controls.</w:t>
      </w:r>
    </w:p>
    <w:bookmarkEnd w:id="229"/>
    <w:bookmarkStart w:id="230" w:name="poam-status"/>
    <w:p>
      <w:pPr>
        <w:pStyle w:val="Heading2"/>
      </w:pPr>
      <w:r>
        <w:t xml:space="preserve">2.5 POA&amp;M Status</w:t>
      </w:r>
    </w:p>
    <w:p>
      <w:pPr>
        <w:pStyle w:val="FirstParagraph"/>
      </w:pPr>
      <w:r>
        <w:t xml:space="preserve">As of the July 4, 2026 bundle generation:</w:t>
      </w:r>
    </w:p>
    <w:p>
      <w:pPr>
        <w:pStyle w:val="SourceCode"/>
      </w:pPr>
      <w:r>
        <w:rPr>
          <w:rStyle w:val="VerbatimChar"/>
        </w:rPr>
        <w:t xml:space="preserve">Satisfied : 29 (all 29 internal KSI-decomposition rules)</w:t>
      </w:r>
      <w:r>
        <w:br/>
      </w:r>
      <w:r>
        <w:rPr>
          <w:rStyle w:val="VerbatimChar"/>
        </w:rPr>
        <w:t xml:space="preserve">Not-satisfied : 0</w:t>
      </w:r>
      <w:r>
        <w:br/>
      </w:r>
      <w:r>
        <w:rPr>
          <w:rStyle w:val="VerbatimChar"/>
        </w:rPr>
        <w:t xml:space="preserve">Not-evaluated : 0</w:t>
      </w:r>
      <w:r>
        <w:br/>
      </w:r>
      <w:r>
        <w:rPr>
          <w:rStyle w:val="VerbatimChar"/>
        </w:rPr>
        <w:t xml:space="preserve">Open risks : 0</w:t>
      </w:r>
      <w:r>
        <w:br/>
      </w:r>
      <w:r>
        <w:rPr>
          <w:rStyle w:val="VerbatimChar"/>
        </w:rPr>
        <w:t xml:space="preserve">POA&amp;M items : 0</w:t>
      </w:r>
    </w:p>
    <w:p>
      <w:pPr>
        <w:pStyle w:val="FirstParagraph"/>
      </w:pPr>
      <w:r>
        <w:t xml:space="preserve">A zero-item POA&amp;M is the correct target state for the self-assessment — it means</w:t>
      </w:r>
      <w:r>
        <w:t xml:space="preserve"> </w:t>
      </w:r>
      <w:r>
        <w:t xml:space="preserve">all required controls are assessed as satisfied in the current adapter run. The POA&amp;M will be regenerated after each assessment</w:t>
      </w:r>
      <w:r>
        <w:t xml:space="preserve"> </w:t>
      </w:r>
      <w:r>
        <w:t xml:space="preserve">cycle; any findings that emerge (e.g., from a training completion gap or an</w:t>
      </w:r>
      <w:r>
        <w:t xml:space="preserve"> </w:t>
      </w:r>
      <w:r>
        <w:t xml:space="preserve">unrevoked privilege) will automatically populate it via the</w:t>
      </w:r>
      <w:r>
        <w:t xml:space="preserve"> </w:t>
      </w:r>
      <w:r>
        <w:rPr>
          <w:rStyle w:val="VerbatimChar"/>
        </w:rPr>
        <w:t xml:space="preserve">_extract_ar_gaps</w:t>
      </w:r>
      <w:r>
        <w:t xml:space="preserve"> </w:t>
      </w:r>
      <w:r>
        <w:t xml:space="preserve">function.</w:t>
      </w:r>
    </w:p>
    <w:p>
      <w:r>
        <w:pict>
          <v:rect style="width:0;height:1.5pt" o:hralign="center" o:hrstd="t" o:hr="t"/>
        </w:pict>
      </w:r>
    </w:p>
    <w:bookmarkEnd w:id="230"/>
    <w:bookmarkEnd w:id="231"/>
    <w:bookmarkStart w:id="240" w:name="continuous-monitoring-program-ca-7"/>
    <w:p>
      <w:pPr>
        <w:pStyle w:val="Heading1"/>
      </w:pPr>
      <w:r>
        <w:t xml:space="preserve">3 Continuous Monitoring Program (CA-7)</w:t>
      </w:r>
    </w:p>
    <w:bookmarkStart w:id="232" w:name="conmon-framework"/>
    <w:p>
      <w:pPr>
        <w:pStyle w:val="Heading2"/>
      </w:pPr>
      <w:r>
        <w:t xml:space="preserve">3.1 ConMon Framework</w:t>
      </w:r>
    </w:p>
    <w:p>
      <w:pPr>
        <w:pStyle w:val="FirstParagraph"/>
      </w:pPr>
      <w:r>
        <w:t xml:space="preserve">CA-7 requires the organization to develop and implement a continuous monitoring</w:t>
      </w:r>
      <w:r>
        <w:t xml:space="preserve"> </w:t>
      </w:r>
      <w:r>
        <w:t xml:space="preserve">strategy that includes:</w:t>
      </w:r>
    </w:p>
    <w:p>
      <w:pPr>
        <w:pStyle w:val="Compact"/>
        <w:numPr>
          <w:ilvl w:val="0"/>
          <w:numId w:val="1078"/>
        </w:numPr>
      </w:pPr>
      <w:r>
        <w:t xml:space="preserve">Metrics for monitoring control effectiveness</w:t>
      </w:r>
    </w:p>
    <w:p>
      <w:pPr>
        <w:pStyle w:val="Compact"/>
        <w:numPr>
          <w:ilvl w:val="0"/>
          <w:numId w:val="1078"/>
        </w:numPr>
      </w:pPr>
      <w:r>
        <w:t xml:space="preserve">Frequencies for monitoring, assessment, and reporting</w:t>
      </w:r>
    </w:p>
    <w:p>
      <w:pPr>
        <w:pStyle w:val="Compact"/>
        <w:numPr>
          <w:ilvl w:val="0"/>
          <w:numId w:val="1078"/>
        </w:numPr>
      </w:pPr>
      <w:r>
        <w:t xml:space="preserve">Ongoing awareness training requirements</w:t>
      </w:r>
    </w:p>
    <w:p>
      <w:pPr>
        <w:pStyle w:val="Compact"/>
        <w:numPr>
          <w:ilvl w:val="0"/>
          <w:numId w:val="1078"/>
        </w:numPr>
      </w:pPr>
      <w:r>
        <w:t xml:space="preserve">Reporting to the Authorizing Official</w:t>
      </w:r>
    </w:p>
    <w:p>
      <w:pPr>
        <w:pStyle w:val="FirstParagraph"/>
      </w:pPr>
      <w:r>
        <w:t xml:space="preserve">The Compliance series provides the evidence generation layer. The ConMon</w:t>
      </w:r>
      <w:r>
        <w:t xml:space="preserve"> </w:t>
      </w:r>
      <w:r>
        <w:t xml:space="preserve">program operationalizes it on a recurring cadence.</w:t>
      </w:r>
    </w:p>
    <w:p>
      <w:pPr>
        <w:pStyle w:val="BodyText"/>
      </w:pPr>
      <w:r>
        <w:t xml:space="preserve">} GCC Moderate FedRAMP 20x. Monthly activities (every month): OSCAL AR refresh via</w:t>
      </w:r>
      <w:r>
        <w:t xml:space="preserve"> </w:t>
      </w:r>
      <w:r>
        <w:t xml:space="preserve"> </w:t>
      </w:r>
      <w:r>
        <w:t xml:space="preserve">oscal bundle; CISA ScuBA assessment run against M365; Sentinel ConMon dashboard review; POA&amp;M status check — zero-item target. Quarterly activities (Q1/Q2/Q3/Q4): KSI evidence quality review; slot binding confidence review; training completion review for AT-4 (KSI-022); vulnerability management review for RA-5 (KSI-015/016). Semi-annual activities: IR drill (IR-2, Vol IV Book 05); Contingency plan tabletop exercise (CP-3, Vol IV Book 01); SBOM freshness review for BOD 26-04 VDR/VEX pipeline (Vol IV Book 02). Annual activities: Full KSI re-assessment; AT-2 annual security awareness training refresh; CP-2 contingency plan update; PM-14 T-and-T-and-M plan update; ATO renewal package preparation.” width=</w:t>
      </w:r>
      <w:r>
        <w:t xml:space="preserve">“100%”</w:t>
      </w:r>
      <w:r>
        <w:t xml:space="preserve">}</w:t>
      </w:r>
    </w:p>
    <w:bookmarkEnd w:id="232"/>
    <w:bookmarkStart w:id="235" w:name="monthly-conmon-activities"/>
    <w:p>
      <w:pPr>
        <w:pStyle w:val="Heading2"/>
      </w:pPr>
      <w:r>
        <w:t xml:space="preserve">3.2 Monthly ConMon Activities</w:t>
      </w:r>
    </w:p>
    <w:p>
      <w:pPr>
        <w:pStyle w:val="TableCaption"/>
      </w:pPr>
      <w:r>
        <w:t xml:space="preserve">Monthly ConMon Activity Matrix</w:t>
      </w:r>
    </w:p>
    <w:tbl>
      <w:tblPr>
        <w:tblStyle w:val="Table"/>
        <w:tblW w:type="pct" w:w="5000"/>
        <w:tblLayout w:type="fixed"/>
        <w:tblLook w:firstRow="1" w:lastRow="0" w:firstColumn="0" w:lastColumn="0" w:noHBand="0" w:noVBand="0" w:val="0020"/>
        <w:tblCaption w:val="Monthly ConMon Activity Matrix"/>
      </w:tblPr>
      <w:tblGrid>
        <w:gridCol w:w="2475"/>
        <w:gridCol w:w="1732"/>
        <w:gridCol w:w="1485"/>
        <w:gridCol w:w="2227"/>
      </w:tblGrid>
      <w:tr>
        <w:trPr>
          <w:tblHeader w:val="on"/>
        </w:trPr>
        <w:tc>
          <w:tcPr/>
          <w:p>
            <w:pPr>
              <w:pStyle w:val="Compact"/>
            </w:pPr>
            <w:r>
              <w:t xml:space="preserve">Activity</w:t>
            </w:r>
          </w:p>
        </w:tc>
        <w:tc>
          <w:tcPr/>
          <w:p>
            <w:pPr>
              <w:pStyle w:val="Compact"/>
            </w:pPr>
            <w:r>
              <w:t xml:space="preserve">Owner</w:t>
            </w:r>
          </w:p>
        </w:tc>
        <w:tc>
          <w:tcPr/>
          <w:p>
            <w:pPr>
              <w:pStyle w:val="Compact"/>
            </w:pPr>
            <w:r>
              <w:t xml:space="preserve">Tool</w:t>
            </w:r>
          </w:p>
        </w:tc>
        <w:tc>
          <w:tcPr/>
          <w:p>
            <w:pPr>
              <w:pStyle w:val="Compact"/>
            </w:pPr>
            <w:r>
              <w:t xml:space="preserve">Evidence</w:t>
            </w:r>
          </w:p>
        </w:tc>
      </w:tr>
      <w:tr>
        <w:tc>
          <w:tcPr/>
          <w:p>
            <w:pPr>
              <w:pStyle w:val="Compact"/>
            </w:pPr>
            <w:r>
              <w:t xml:space="preserve">OSCAL AR refresh</w:t>
            </w:r>
          </w:p>
        </w:tc>
        <w:tc>
          <w:tcPr/>
          <w:p>
            <w:pPr>
              <w:pStyle w:val="Compact"/>
            </w:pPr>
            <w:r>
              <w:t xml:space="preserve">ISSO</w:t>
            </w:r>
          </w:p>
        </w:tc>
        <w:tc>
          <w:tcPr/>
          <w:p>
            <w:pPr>
              <w:pStyle w:val="Compact"/>
            </w:pPr>
            <w:r>
              <w:rPr>
                <w:rStyle w:val="VerbatimChar"/>
              </w:rPr>
              <w:t xml:space="preserve">&lt;engine&gt; oscal bundle</w:t>
            </w:r>
          </w:p>
        </w:tc>
        <w:tc>
          <w:tcPr/>
          <w:p>
            <w:pPr>
              <w:pStyle w:val="Compact"/>
            </w:pPr>
            <w:r>
              <w:t xml:space="preserve">Updated</w:t>
            </w:r>
            <w:r>
              <w:t xml:space="preserve"> </w:t>
            </w:r>
            <w:r>
              <w:rPr>
                <w:rStyle w:val="VerbatimChar"/>
              </w:rPr>
              <w:t xml:space="preserve">ksi-ar.json</w:t>
            </w:r>
          </w:p>
        </w:tc>
      </w:tr>
      <w:tr>
        <w:tc>
          <w:tcPr/>
          <w:p>
            <w:pPr>
              <w:pStyle w:val="Compact"/>
            </w:pPr>
            <w:r>
              <w:t xml:space="preserve">ScuBA assessment</w:t>
            </w:r>
          </w:p>
        </w:tc>
        <w:tc>
          <w:tcPr/>
          <w:p>
            <w:pPr>
              <w:pStyle w:val="Compact"/>
            </w:pPr>
            <w:r>
              <w:t xml:space="preserve">ISSO</w:t>
            </w:r>
          </w:p>
        </w:tc>
        <w:tc>
          <w:tcPr/>
          <w:p>
            <w:pPr>
              <w:pStyle w:val="Compact"/>
            </w:pPr>
            <w:r>
              <w:t xml:space="preserve">ScuBAGear</w:t>
            </w:r>
          </w:p>
        </w:tc>
        <w:tc>
          <w:tcPr/>
          <w:p>
            <w:pPr>
              <w:pStyle w:val="Compact"/>
            </w:pPr>
            <w:r>
              <w:t xml:space="preserve">M365 baseline assessment report</w:t>
            </w:r>
          </w:p>
        </w:tc>
      </w:tr>
      <w:tr>
        <w:tc>
          <w:tcPr/>
          <w:p>
            <w:pPr>
              <w:pStyle w:val="Compact"/>
            </w:pPr>
            <w:r>
              <w:t xml:space="preserve">ScuBA drift triage + gate</w:t>
            </w:r>
          </w:p>
        </w:tc>
        <w:tc>
          <w:tcPr/>
          <w:p>
            <w:pPr>
              <w:pStyle w:val="Compact"/>
            </w:pPr>
            <w:r>
              <w:t xml:space="preserve">ISSO</w:t>
            </w:r>
          </w:p>
        </w:tc>
        <w:tc>
          <w:tcPr/>
          <w:p>
            <w:pPr>
              <w:pStyle w:val="Compact"/>
            </w:pPr>
            <w:r>
              <w:t xml:space="preserve">ScubaDrift</w:t>
            </w:r>
          </w:p>
        </w:tc>
        <w:tc>
          <w:tcPr/>
          <w:p>
            <w:pPr>
              <w:pStyle w:val="Compact"/>
            </w:pPr>
            <w:r>
              <w:rPr>
                <w:rStyle w:val="VerbatimChar"/>
              </w:rPr>
              <w:t xml:space="preserve">scubadrift-verdicts.json</w:t>
            </w:r>
            <w:r>
              <w:t xml:space="preserve"> </w:t>
            </w:r>
            <w:r>
              <w:t xml:space="preserve">(dispositions + POA&amp;M linkage)</w:t>
            </w:r>
          </w:p>
        </w:tc>
      </w:tr>
      <w:tr>
        <w:tc>
          <w:tcPr/>
          <w:p>
            <w:pPr>
              <w:pStyle w:val="Compact"/>
            </w:pPr>
            <w:r>
              <w:t xml:space="preserve">Sentinel ConMon dashboard review</w:t>
            </w:r>
          </w:p>
        </w:tc>
        <w:tc>
          <w:tcPr/>
          <w:p>
            <w:pPr>
              <w:pStyle w:val="Compact"/>
            </w:pPr>
            <w:r>
              <w:t xml:space="preserve">SOC Lead</w:t>
            </w:r>
          </w:p>
        </w:tc>
        <w:tc>
          <w:tcPr/>
          <w:p>
            <w:pPr>
              <w:pStyle w:val="Compact"/>
            </w:pPr>
            <w:r>
              <w:t xml:space="preserve">Microsoft Sentinel</w:t>
            </w:r>
          </w:p>
        </w:tc>
        <w:tc>
          <w:tcPr/>
          <w:p>
            <w:pPr>
              <w:pStyle w:val="Compact"/>
            </w:pPr>
            <w:r>
              <w:t xml:space="preserve">ConMon dashboard export</w:t>
            </w:r>
          </w:p>
        </w:tc>
      </w:tr>
      <w:tr>
        <w:tc>
          <w:tcPr/>
          <w:p>
            <w:pPr>
              <w:pStyle w:val="Compact"/>
            </w:pPr>
            <w:r>
              <w:t xml:space="preserve">POA&amp;M status review</w:t>
            </w:r>
          </w:p>
        </w:tc>
        <w:tc>
          <w:tcPr/>
          <w:p>
            <w:pPr>
              <w:pStyle w:val="Compact"/>
            </w:pPr>
            <w:r>
              <w:t xml:space="preserve">ISSO + ISSM</w:t>
            </w:r>
          </w:p>
        </w:tc>
        <w:tc>
          <w:tcPr/>
          <w:p>
            <w:pPr>
              <w:pStyle w:val="Compact"/>
            </w:pPr>
            <w:r>
              <w:rPr>
                <w:rStyle w:val="VerbatimChar"/>
              </w:rPr>
              <w:t xml:space="preserve">&lt;engine&gt; oscal bundle</w:t>
            </w:r>
          </w:p>
        </w:tc>
        <w:tc>
          <w:tcPr/>
          <w:p>
            <w:pPr>
              <w:pStyle w:val="Compact"/>
            </w:pPr>
            <w:r>
              <w:rPr>
                <w:rStyle w:val="VerbatimChar"/>
              </w:rPr>
              <w:t xml:space="preserve">ksi-poam.json</w:t>
            </w:r>
            <w:r>
              <w:t xml:space="preserve"> </w:t>
            </w:r>
            <w:r>
              <w:t xml:space="preserve">(zero-item target)</w:t>
            </w:r>
          </w:p>
        </w:tc>
      </w:tr>
      <w:tr>
        <w:tc>
          <w:tcPr/>
          <w:p>
            <w:pPr>
              <w:pStyle w:val="Compact"/>
            </w:pPr>
            <w:r>
              <w:t xml:space="preserve">Vulnerability scan</w:t>
            </w:r>
          </w:p>
        </w:tc>
        <w:tc>
          <w:tcPr/>
          <w:p>
            <w:pPr>
              <w:pStyle w:val="Compact"/>
            </w:pPr>
            <w:r>
              <w:t xml:space="preserve">Defender VM team</w:t>
            </w:r>
          </w:p>
        </w:tc>
        <w:tc>
          <w:tcPr/>
          <w:p>
            <w:pPr>
              <w:pStyle w:val="Compact"/>
            </w:pPr>
            <w:r>
              <w:t xml:space="preserve">Defender for Endpoint</w:t>
            </w:r>
          </w:p>
        </w:tc>
        <w:tc>
          <w:tcPr/>
          <w:p>
            <w:pPr>
              <w:pStyle w:val="Compact"/>
            </w:pPr>
            <w:r>
              <w:t xml:space="preserve">RA-5 scan record</w:t>
            </w:r>
          </w:p>
        </w:tc>
      </w:tr>
      <w:tr>
        <w:tc>
          <w:tcPr/>
          <w:p>
            <w:pPr>
              <w:pStyle w:val="Compact"/>
            </w:pPr>
            <w:r>
              <w:t xml:space="preserve">SBOM delta check</w:t>
            </w:r>
          </w:p>
        </w:tc>
        <w:tc>
          <w:tcPr/>
          <w:p>
            <w:pPr>
              <w:pStyle w:val="Compact"/>
            </w:pPr>
            <w:r>
              <w:t xml:space="preserve">SR team</w:t>
            </w:r>
          </w:p>
        </w:tc>
        <w:tc>
          <w:tcPr/>
          <w:p>
            <w:pPr>
              <w:pStyle w:val="Compact"/>
            </w:pPr>
            <w:r>
              <w:t xml:space="preserve">Syft + Grype</w:t>
            </w:r>
          </w:p>
        </w:tc>
        <w:tc>
          <w:tcPr/>
          <w:p>
            <w:pPr>
              <w:pStyle w:val="Compact"/>
            </w:pPr>
            <w:r>
              <w:t xml:space="preserve">CycloneDX BOM diff</w:t>
            </w:r>
          </w:p>
        </w:tc>
      </w:tr>
    </w:tbl>
    <w:bookmarkStart w:id="233" w:name="Xa1b68c0158c1f6020b92f599c0f5bae72bec36e"/>
    <w:p>
      <w:pPr>
        <w:pStyle w:val="Heading3"/>
      </w:pPr>
      <w:r>
        <w:t xml:space="preserve">The ScubaDrift Disposition Pipeline — Evidence Behind KSI-001..010</w:t>
      </w:r>
    </w:p>
    <w:p>
      <w:pPr>
        <w:pStyle w:val="FirstParagraph"/>
      </w:pPr>
      <w:r>
        <w:t xml:space="preserve">A point-in-time ScuBAGear report answers</w:t>
      </w:r>
      <w:r>
        <w:t xml:space="preserve"> </w:t>
      </w:r>
      <w:r>
        <w:rPr>
          <w:i/>
          <w:iCs/>
        </w:rPr>
        <w:t xml:space="preserve">“what passes today?”</w:t>
      </w:r>
      <w:r>
        <w:t xml:space="preserve"> </w:t>
      </w:r>
      <w:r>
        <w:t xml:space="preserve">It does not</w:t>
      </w:r>
      <w:r>
        <w:t xml:space="preserve"> </w:t>
      </w:r>
      <w:r>
        <w:t xml:space="preserve">answer the three questions an assessor asks next:</w:t>
      </w:r>
      <w:r>
        <w:t xml:space="preserve"> </w:t>
      </w:r>
      <w:r>
        <w:rPr>
          <w:i/>
          <w:iCs/>
        </w:rPr>
        <w:t xml:space="preserve">what changed since last</w:t>
      </w:r>
      <w:r>
        <w:rPr>
          <w:i/>
          <w:iCs/>
        </w:rPr>
        <w:t xml:space="preserve"> </w:t>
      </w:r>
      <w:r>
        <w:rPr>
          <w:i/>
          <w:iCs/>
        </w:rPr>
        <w:t xml:space="preserve">month, which failures are already governed by a documented risk acceptance,</w:t>
      </w:r>
      <w:r>
        <w:rPr>
          <w:i/>
          <w:iCs/>
        </w:rPr>
        <w:t xml:space="preserve"> </w:t>
      </w:r>
      <w:r>
        <w:rPr>
          <w:i/>
          <w:iCs/>
        </w:rPr>
        <w:t xml:space="preserve">and when does that acceptance lapse?</w:t>
      </w:r>
      <w:r>
        <w:t xml:space="preserve"> </w:t>
      </w:r>
      <w:r>
        <w:rPr>
          <w:b/>
          <w:bCs/>
        </w:rPr>
        <w:t xml:space="preserve">ScubaDrift</w:t>
      </w:r>
      <w:r>
        <w:t xml:space="preserve"> </w:t>
      </w:r>
      <w:r>
        <w:t xml:space="preserve">is the lifecycle layer</w:t>
      </w:r>
      <w:r>
        <w:t xml:space="preserve"> </w:t>
      </w:r>
      <w:r>
        <w:t xml:space="preserve">that answers them. It never touches the tenant — it consumes ScuBAGear’s JSON</w:t>
      </w:r>
      <w:r>
        <w:t xml:space="preserve"> </w:t>
      </w:r>
      <w:r>
        <w:t xml:space="preserve">output and the risk-acceptance register, and splits every failing policy into</w:t>
      </w:r>
      <w:r>
        <w:t xml:space="preserve"> </w:t>
      </w:r>
      <w:r>
        <w:t xml:space="preserve">exactly three dispositions:</w:t>
      </w:r>
    </w:p>
    <w:p>
      <w:pPr>
        <w:pStyle w:val="TableCaption"/>
      </w:pPr>
      <w:r>
        <w:t xml:space="preserve">ScubaDrift Dispositions</w:t>
      </w:r>
    </w:p>
    <w:tbl>
      <w:tblPr>
        <w:tblStyle w:val="Table"/>
        <w:tblW w:type="pct" w:w="5000"/>
        <w:tblLayout w:type="fixed"/>
        <w:tblLook w:firstRow="1" w:lastRow="0" w:firstColumn="0" w:lastColumn="0" w:noHBand="0" w:noVBand="0" w:val="0020"/>
        <w:tblCaption w:val="ScubaDrift Dispositions"/>
      </w:tblPr>
      <w:tblGrid>
        <w:gridCol w:w="2640"/>
        <w:gridCol w:w="2640"/>
        <w:gridCol w:w="2640"/>
      </w:tblGrid>
      <w:tr>
        <w:trPr>
          <w:tblHeader w:val="on"/>
        </w:trPr>
        <w:tc>
          <w:tcPr/>
          <w:p>
            <w:pPr>
              <w:pStyle w:val="Compact"/>
            </w:pPr>
            <w:r>
              <w:t xml:space="preserve">Disposition</w:t>
            </w:r>
          </w:p>
        </w:tc>
        <w:tc>
          <w:tcPr/>
          <w:p>
            <w:pPr>
              <w:pStyle w:val="Compact"/>
            </w:pPr>
            <w:r>
              <w:t xml:space="preserve">Meaning</w:t>
            </w:r>
          </w:p>
        </w:tc>
        <w:tc>
          <w:tcPr/>
          <w:p>
            <w:pPr>
              <w:pStyle w:val="Compact"/>
            </w:pPr>
            <w:r>
              <w:t xml:space="preserve">Gate behavior</w:t>
            </w:r>
          </w:p>
        </w:tc>
      </w:tr>
      <w:tr>
        <w:tc>
          <w:tcPr/>
          <w:p>
            <w:pPr>
              <w:pStyle w:val="Compact"/>
            </w:pPr>
            <w:r>
              <w:rPr>
                <w:rStyle w:val="VerbatimChar"/>
              </w:rPr>
              <w:t xml:space="preserve">actionable_new_drift</w:t>
            </w:r>
          </w:p>
        </w:tc>
        <w:tc>
          <w:tcPr/>
          <w:p>
            <w:pPr>
              <w:pStyle w:val="Compact"/>
            </w:pPr>
            <w:r>
              <w:t xml:space="preserve">Failing, no risk acceptance on file</w:t>
            </w:r>
          </w:p>
        </w:tc>
        <w:tc>
          <w:tcPr/>
          <w:p>
            <w:pPr>
              <w:pStyle w:val="Compact"/>
            </w:pPr>
            <w:r>
              <w:rPr>
                <w:b/>
                <w:bCs/>
              </w:rPr>
              <w:t xml:space="preserve">Act</w:t>
            </w:r>
            <w:r>
              <w:t xml:space="preserve"> </w:t>
            </w:r>
            <w:r>
              <w:t xml:space="preserve">— gate fails</w:t>
            </w:r>
          </w:p>
        </w:tc>
      </w:tr>
      <w:tr>
        <w:tc>
          <w:tcPr/>
          <w:p>
            <w:pPr>
              <w:pStyle w:val="Compact"/>
            </w:pPr>
            <w:r>
              <w:rPr>
                <w:rStyle w:val="VerbatimChar"/>
              </w:rPr>
              <w:t xml:space="preserve">lapsed_acceptance</w:t>
            </w:r>
          </w:p>
        </w:tc>
        <w:tc>
          <w:tcPr/>
          <w:p>
            <w:pPr>
              <w:pStyle w:val="Compact"/>
            </w:pPr>
            <w:r>
              <w:t xml:space="preserve">Failing, acceptance exists but expired</w:t>
            </w:r>
          </w:p>
        </w:tc>
        <w:tc>
          <w:tcPr/>
          <w:p>
            <w:pPr>
              <w:pStyle w:val="Compact"/>
            </w:pPr>
            <w:r>
              <w:rPr>
                <w:b/>
                <w:bCs/>
              </w:rPr>
              <w:t xml:space="preserve">Act</w:t>
            </w:r>
            <w:r>
              <w:t xml:space="preserve"> </w:t>
            </w:r>
            <w:r>
              <w:t xml:space="preserve">— gate fails</w:t>
            </w:r>
          </w:p>
        </w:tc>
      </w:tr>
      <w:tr>
        <w:tc>
          <w:tcPr/>
          <w:p>
            <w:pPr>
              <w:pStyle w:val="Compact"/>
            </w:pPr>
            <w:r>
              <w:rPr>
                <w:rStyle w:val="VerbatimChar"/>
              </w:rPr>
              <w:t xml:space="preserve">governed_exception</w:t>
            </w:r>
          </w:p>
        </w:tc>
        <w:tc>
          <w:tcPr/>
          <w:p>
            <w:pPr>
              <w:pStyle w:val="Compact"/>
            </w:pPr>
            <w:r>
              <w:t xml:space="preserve">Failing, covered by an in-date acceptance</w:t>
            </w:r>
          </w:p>
        </w:tc>
        <w:tc>
          <w:tcPr/>
          <w:p>
            <w:pPr>
              <w:pStyle w:val="Compact"/>
            </w:pPr>
            <w:r>
              <w:t xml:space="preserve">Governed — gate passes, POA&amp;M-linked</w:t>
            </w:r>
          </w:p>
        </w:tc>
      </w:tr>
    </w:tbl>
    <w:p>
      <w:pPr>
        <w:pStyle w:val="BodyText"/>
      </w:pPr>
      <w:r>
        <w:t xml:space="preserve">The monthly loop: ScuBAGear assesses the tenant →</w:t>
      </w:r>
      <w:r>
        <w:t xml:space="preserve"> </w:t>
      </w:r>
      <w:r>
        <w:rPr>
          <w:rStyle w:val="VerbatimChar"/>
        </w:rPr>
        <w:t xml:space="preserve">scubadrift triage --json</w:t>
      </w:r>
      <w:r>
        <w:t xml:space="preserve"> </w:t>
      </w:r>
      <w:r>
        <w:t xml:space="preserve">produces dispositions →</w:t>
      </w:r>
      <w:r>
        <w:t xml:space="preserve"> </w:t>
      </w:r>
      <w:r>
        <w:rPr>
          <w:rStyle w:val="VerbatimChar"/>
        </w:rPr>
        <w:t xml:space="preserve">scubadrift gate</w:t>
      </w:r>
      <w:r>
        <w:t xml:space="preserve"> </w:t>
      </w:r>
      <w:r>
        <w:t xml:space="preserve">runs in the pipeline (exit non-zero</w:t>
      </w:r>
      <w:r>
        <w:t xml:space="preserve"> </w:t>
      </w:r>
      <w:r>
        <w:rPr>
          <w:i/>
          <w:iCs/>
        </w:rPr>
        <w:t xml:space="preserve">only</w:t>
      </w:r>
      <w:r>
        <w:t xml:space="preserve"> </w:t>
      </w:r>
      <w:r>
        <w:t xml:space="preserve">on new drift or a lapsed acceptance — governed exceptions never break</w:t>
      </w:r>
      <w:r>
        <w:t xml:space="preserve"> </w:t>
      </w:r>
      <w:r>
        <w:t xml:space="preserve">the build) →</w:t>
      </w:r>
      <w:r>
        <w:t xml:space="preserve"> </w:t>
      </w:r>
      <w:r>
        <w:rPr>
          <w:rStyle w:val="VerbatimChar"/>
        </w:rPr>
        <w:t xml:space="preserve">&lt;engine&gt; oscal scuba-verdicts</w:t>
      </w:r>
      <w:r>
        <w:t xml:space="preserve"> </w:t>
      </w:r>
      <w:r>
        <w:t xml:space="preserve">writes</w:t>
      </w:r>
      <w:r>
        <w:t xml:space="preserve"> </w:t>
      </w:r>
      <w:r>
        <w:rPr>
          <w:rStyle w:val="VerbatimChar"/>
        </w:rPr>
        <w:t xml:space="preserve">output/artifacts/ksi-bundle/scubadrift-verdicts.json</w:t>
      </w:r>
      <w:r>
        <w:t xml:space="preserve"> </w:t>
      </w:r>
      <w:r>
        <w:t xml:space="preserve">with full provenance →</w:t>
      </w:r>
      <w:r>
        <w:t xml:space="preserve"> </w:t>
      </w:r>
      <w:r>
        <w:t xml:space="preserve">the AR refresh consumes it.</w:t>
      </w:r>
      <w:r>
        <w:t xml:space="preserve"> </w:t>
      </w:r>
      <w:r>
        <w:rPr>
          <w:rStyle w:val="VerbatimChar"/>
        </w:rPr>
        <w:t xml:space="preserve">scubadrift conmon-record</w:t>
      </w:r>
      <w:r>
        <w:t xml:space="preserve"> </w:t>
      </w:r>
      <w:r>
        <w:t xml:space="preserve">appends each run to the</w:t>
      </w:r>
      <w:r>
        <w:t xml:space="preserve"> </w:t>
      </w:r>
      <w:r>
        <w:t xml:space="preserve">history ledger, and</w:t>
      </w:r>
      <w:r>
        <w:t xml:space="preserve"> </w:t>
      </w:r>
      <w:r>
        <w:rPr>
          <w:rStyle w:val="VerbatimChar"/>
        </w:rPr>
        <w:t xml:space="preserve">scubadrift conmon-report</w:t>
      </w:r>
      <w:r>
        <w:t xml:space="preserve"> </w:t>
      </w:r>
      <w:r>
        <w:t xml:space="preserve">emits the posture trend and</w:t>
      </w:r>
      <w:r>
        <w:t xml:space="preserve"> </w:t>
      </w:r>
      <w:r>
        <w:t xml:space="preserve">remediation SLA aging that CA-7, NIST SP 800-137 (ISCM), and BOD 25-01 expect.</w:t>
      </w:r>
    </w:p>
    <w:p>
      <w:pPr>
        <w:pStyle w:val="BodyText"/>
      </w:pPr>
      <w:r>
        <w:t xml:space="preserve">A verdict entry looks like this (from the committed demonstration fixture):</w:t>
      </w:r>
    </w:p>
    <w:p>
      <w:pPr>
        <w:pStyle w:val="SourceCode"/>
      </w:pPr>
      <w:r>
        <w:rPr>
          <w:rStyle w:val="StringTok"/>
        </w:rPr>
        <w:t xml:space="preserve">"MS.AAD.3.1v1"</w:t>
      </w:r>
      <w:r>
        <w:rPr>
          <w:rStyle w:val="Erro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"result"</w:t>
      </w:r>
      <w:r>
        <w:rPr>
          <w:rStyle w:val="FunctionTok"/>
        </w:rPr>
        <w:t xml:space="preserve">:</w:t>
      </w:r>
      <w:r>
        <w:rPr>
          <w:rStyle w:val="NormalTok"/>
        </w:rPr>
        <w:t xml:space="preserve"> </w:t>
      </w:r>
      <w:r>
        <w:rPr>
          <w:rStyle w:val="StringTok"/>
        </w:rPr>
        <w:t xml:space="preserve">"fail"</w:t>
      </w:r>
      <w:r>
        <w:rPr>
          <w:rStyle w:val="FunctionTok"/>
        </w:rPr>
        <w:t xml:space="preserve">,</w:t>
      </w:r>
      <w:r>
        <w:br/>
      </w:r>
      <w:r>
        <w:rPr>
          <w:rStyle w:val="NormalTok"/>
        </w:rPr>
        <w:t xml:space="preserve"> </w:t>
      </w:r>
      <w:r>
        <w:rPr>
          <w:rStyle w:val="DataTypeTok"/>
        </w:rPr>
        <w:t xml:space="preserve">"disposition"</w:t>
      </w:r>
      <w:r>
        <w:rPr>
          <w:rStyle w:val="FunctionTok"/>
        </w:rPr>
        <w:t xml:space="preserve">:</w:t>
      </w:r>
      <w:r>
        <w:rPr>
          <w:rStyle w:val="NormalTok"/>
        </w:rPr>
        <w:t xml:space="preserve"> </w:t>
      </w:r>
      <w:r>
        <w:rPr>
          <w:rStyle w:val="StringTok"/>
        </w:rPr>
        <w:t xml:space="preserve">"governed_exception"</w:t>
      </w:r>
      <w:r>
        <w:rPr>
          <w:rStyle w:val="FunctionTok"/>
        </w:rPr>
        <w:t xml:space="preserve">,</w:t>
      </w:r>
      <w:r>
        <w:br/>
      </w:r>
      <w:r>
        <w:rPr>
          <w:rStyle w:val="NormalTok"/>
        </w:rPr>
        <w:t xml:space="preserve"> </w:t>
      </w:r>
      <w:r>
        <w:rPr>
          <w:rStyle w:val="DataTypeTok"/>
        </w:rPr>
        <w:t xml:space="preserve">"reason"</w:t>
      </w:r>
      <w:r>
        <w:rPr>
          <w:rStyle w:val="FunctionTok"/>
        </w:rPr>
        <w:t xml:space="preserve">:</w:t>
      </w:r>
      <w:r>
        <w:rPr>
          <w:rStyle w:val="NormalTok"/>
        </w:rPr>
        <w:t xml:space="preserve"> </w:t>
      </w:r>
      <w:r>
        <w:rPr>
          <w:rStyle w:val="StringTok"/>
        </w:rPr>
        <w:t xml:space="preserve">"accepted until 2026-12-31 (POAM-SAMPLE-1042)"</w:t>
      </w:r>
      <w:r>
        <w:rPr>
          <w:rStyle w:val="FunctionTok"/>
        </w:rPr>
        <w:t xml:space="preserve">,</w:t>
      </w:r>
      <w:r>
        <w:br/>
      </w:r>
      <w:r>
        <w:rPr>
          <w:rStyle w:val="NormalTok"/>
        </w:rPr>
        <w:t xml:space="preserve"> </w:t>
      </w:r>
      <w:r>
        <w:rPr>
          <w:rStyle w:val="DataTypeTok"/>
        </w:rPr>
        <w:t xml:space="preserve">"ticket"</w:t>
      </w:r>
      <w:r>
        <w:rPr>
          <w:rStyle w:val="FunctionTok"/>
        </w:rPr>
        <w:t xml:space="preserve">:</w:t>
      </w:r>
      <w:r>
        <w:rPr>
          <w:rStyle w:val="NormalTok"/>
        </w:rPr>
        <w:t xml:space="preserve"> </w:t>
      </w:r>
      <w:r>
        <w:rPr>
          <w:rStyle w:val="StringTok"/>
        </w:rPr>
        <w:t xml:space="preserve">"POAM-SAMPLE-1042"</w:t>
      </w:r>
      <w:r>
        <w:rPr>
          <w:rStyle w:val="FunctionTok"/>
        </w:rPr>
        <w:t xml:space="preserve">,</w:t>
      </w:r>
      <w:r>
        <w:br/>
      </w:r>
      <w:r>
        <w:rPr>
          <w:rStyle w:val="NormalTok"/>
        </w:rPr>
        <w:t xml:space="preserve"> </w:t>
      </w:r>
      <w:r>
        <w:rPr>
          <w:rStyle w:val="DataTypeTok"/>
        </w:rPr>
        <w:t xml:space="preserve">"expiry_date"</w:t>
      </w:r>
      <w:r>
        <w:rPr>
          <w:rStyle w:val="FunctionTok"/>
        </w:rPr>
        <w:t xml:space="preserve">:</w:t>
      </w:r>
      <w:r>
        <w:rPr>
          <w:rStyle w:val="NormalTok"/>
        </w:rPr>
        <w:t xml:space="preserve"> </w:t>
      </w:r>
      <w:r>
        <w:rPr>
          <w:rStyle w:val="StringTok"/>
        </w:rPr>
        <w:t xml:space="preserve">"2026-12-31"</w:t>
      </w:r>
      <w:r>
        <w:br/>
      </w:r>
      <w:r>
        <w:rPr>
          <w:rStyle w:val="FunctionTok"/>
        </w:rPr>
        <w:t xml:space="preserve">}</w:t>
      </w:r>
    </w:p>
    <w:p>
      <w:pPr>
        <w:pStyle w:val="FirstParagraph"/>
      </w:pPr>
      <w:r>
        <w:t xml:space="preserve">This is what</w:t>
      </w:r>
      <w:r>
        <w:t xml:space="preserve"> </w:t>
      </w:r>
      <w:r>
        <w:t xml:space="preserve">“evidence-backed”</w:t>
      </w:r>
      <w:r>
        <w:t xml:space="preserve"> </w:t>
      </w:r>
      <w:r>
        <w:t xml:space="preserve">means for the ten configuration-surface KSI</w:t>
      </w:r>
      <w:r>
        <w:t xml:space="preserve"> </w:t>
      </w:r>
      <w:r>
        <w:t xml:space="preserve">rules: the OSCAL AR no longer asserts KSI-001..010 as satisfied because a</w:t>
      </w:r>
      <w:r>
        <w:t xml:space="preserve"> </w:t>
      </w:r>
      <w:r>
        <w:t xml:space="preserve">scanner ran — each verdict carries its result, its disposition, its governing</w:t>
      </w:r>
      <w:r>
        <w:t xml:space="preserve"> </w:t>
      </w:r>
      <w:r>
        <w:t xml:space="preserve">ticket, and its expiry, and a governed exception surfaces as a POA&amp;M-linked</w:t>
      </w:r>
      <w:r>
        <w:t xml:space="preserve"> </w:t>
      </w:r>
      <w:r>
        <w:t xml:space="preserve">entry rather than a silent pass. Retirable acceptances (exceptions whose</w:t>
      </w:r>
      <w:r>
        <w:t xml:space="preserve"> </w:t>
      </w:r>
      <w:r>
        <w:t xml:space="preserve">policy now passes) are flagged for removal from the register, so the</w:t>
      </w:r>
      <w:r>
        <w:t xml:space="preserve"> </w:t>
      </w:r>
      <w:r>
        <w:t xml:space="preserve">acceptance file cannot silently accumulate dead weight. All expiry math is</w:t>
      </w:r>
      <w:r>
        <w:t xml:space="preserve"> </w:t>
      </w:r>
      <w:r>
        <w:rPr>
          <w:rStyle w:val="VerbatimChar"/>
        </w:rPr>
        <w:t xml:space="preserve">--as-of</w:t>
      </w:r>
      <w:r>
        <w:t xml:space="preserve">-injected, so verdict runs are deterministic and reproducible for</w:t>
      </w:r>
      <w:r>
        <w:t xml:space="preserve"> </w:t>
      </w:r>
      <w:r>
        <w:t xml:space="preserve">the assessor.</w:t>
      </w:r>
    </w:p>
    <w:bookmarkEnd w:id="233"/>
    <w:bookmarkStart w:id="234" w:name="Xd988f19fb2a3d1855ce938f7e6784550f9b5c2d"/>
    <w:p>
      <w:pPr>
        <w:pStyle w:val="Heading3"/>
      </w:pPr>
      <w:r>
        <w:t xml:space="preserve">Why Not Secure Score or Compliance Manager?</w:t>
      </w:r>
    </w:p>
    <w:p>
      <w:pPr>
        <w:pStyle w:val="FirstParagraph"/>
      </w:pPr>
      <w:r>
        <w:t xml:space="preserve">The question an Authorizing Official will ask: Microsoft already ships posture</w:t>
      </w:r>
      <w:r>
        <w:t xml:space="preserve"> </w:t>
      </w:r>
      <w:r>
        <w:t xml:space="preserve">tooling — why is this pipeline not redundant? Because none of the Microsoft</w:t>
      </w:r>
      <w:r>
        <w:t xml:space="preserve"> </w:t>
      </w:r>
      <w:r>
        <w:t xml:space="preserve">offerings produce evidence an assessor can consume:</w:t>
      </w:r>
    </w:p>
    <w:p>
      <w:pPr>
        <w:pStyle w:val="TableCaption"/>
      </w:pPr>
      <w:r>
        <w:t xml:space="preserve">Vendor Posture Tooling vs. Disposition Evidence</w:t>
      </w:r>
    </w:p>
    <w:tbl>
      <w:tblPr>
        <w:tblStyle w:val="Table"/>
        <w:tblW w:type="pct" w:w="5000"/>
        <w:tblLayout w:type="fixed"/>
        <w:tblLook w:firstRow="1" w:lastRow="0" w:firstColumn="0" w:lastColumn="0" w:noHBand="0" w:noVBand="0" w:val="0020"/>
        <w:tblCaption w:val="Vendor Posture Tooling vs. Disposition Evidence"/>
      </w:tblPr>
      <w:tblGrid>
        <w:gridCol w:w="2640"/>
        <w:gridCol w:w="2640"/>
        <w:gridCol w:w="2640"/>
      </w:tblGrid>
      <w:tr>
        <w:trPr>
          <w:tblHeader w:val="on"/>
        </w:trPr>
        <w:tc>
          <w:tcPr/>
          <w:p>
            <w:pPr>
              <w:pStyle w:val="Compact"/>
            </w:pPr>
            <w:r>
              <w:t xml:space="preserve">Offering</w:t>
            </w:r>
          </w:p>
        </w:tc>
        <w:tc>
          <w:tcPr/>
          <w:p>
            <w:pPr>
              <w:pStyle w:val="Compact"/>
            </w:pPr>
            <w:r>
              <w:t xml:space="preserve">What it provides</w:t>
            </w:r>
          </w:p>
        </w:tc>
        <w:tc>
          <w:tcPr/>
          <w:p>
            <w:pPr>
              <w:pStyle w:val="Compact"/>
            </w:pPr>
            <w:r>
              <w:t xml:space="preserve">Why it is not this evidence</w:t>
            </w:r>
          </w:p>
        </w:tc>
      </w:tr>
      <w:tr>
        <w:tc>
          <w:tcPr/>
          <w:p>
            <w:pPr>
              <w:pStyle w:val="Compact"/>
            </w:pPr>
            <w:r>
              <w:t xml:space="preserve">Microsoft Secure Score</w:t>
            </w:r>
          </w:p>
        </w:tc>
        <w:tc>
          <w:tcPr/>
          <w:p>
            <w:pPr>
              <w:pStyle w:val="Compact"/>
            </w:pPr>
            <w:r>
              <w:t xml:space="preserve">Proprietary posture score with trend and</w:t>
            </w:r>
            <w:r>
              <w:t xml:space="preserve"> </w:t>
            </w:r>
            <w:r>
              <w:t xml:space="preserve">“accepted risk”</w:t>
            </w:r>
            <w:r>
              <w:t xml:space="preserve"> </w:t>
            </w:r>
            <w:r>
              <w:t xml:space="preserve">markers</w:t>
            </w:r>
          </w:p>
        </w:tc>
        <w:tc>
          <w:tcPr/>
          <w:p>
            <w:pPr>
              <w:pStyle w:val="Compact"/>
            </w:pPr>
            <w:r>
              <w:t xml:space="preserve">Scores against Microsoft’s rubric, not the CISA SCuBA baseline; accepted-risk markers never expire and link to no POA&amp;M; no per-policy verdict artifact; cannot gate a pipeline</w:t>
            </w:r>
          </w:p>
        </w:tc>
      </w:tr>
      <w:tr>
        <w:tc>
          <w:tcPr/>
          <w:p>
            <w:pPr>
              <w:pStyle w:val="Compact"/>
            </w:pPr>
            <w:r>
              <w:t xml:space="preserve">Purview Compliance Manager</w:t>
            </w:r>
          </w:p>
        </w:tc>
        <w:tc>
          <w:tcPr/>
          <w:p>
            <w:pPr>
              <w:pStyle w:val="Compact"/>
            </w:pPr>
            <w:r>
              <w:t xml:space="preserve">NIST 800-53 / FedRAMP assessment templates, improvement actions</w:t>
            </w:r>
          </w:p>
        </w:tc>
        <w:tc>
          <w:tcPr/>
          <w:p>
            <w:pPr>
              <w:pStyle w:val="Compact"/>
            </w:pPr>
            <w:r>
              <w:t xml:space="preserve">Portal workflow with largely manual evidence attachment; produces a score, not machine-readable per-control verdicts; no run-to-run drift, no expiry math, no OSCAL output</w:t>
            </w:r>
          </w:p>
        </w:tc>
      </w:tr>
      <w:tr>
        <w:tc>
          <w:tcPr/>
          <w:p>
            <w:pPr>
              <w:pStyle w:val="Compact"/>
            </w:pPr>
            <w:r>
              <w:t xml:space="preserve">Microsoft365DSC</w:t>
            </w:r>
          </w:p>
        </w:tc>
        <w:tc>
          <w:tcPr/>
          <w:p>
            <w:pPr>
              <w:pStyle w:val="Compact"/>
            </w:pPr>
            <w:r>
              <w:t xml:space="preserve">Tenant configuration export, drift detection against your own snapshot, enforcement</w:t>
            </w:r>
          </w:p>
        </w:tc>
        <w:tc>
          <w:tcPr/>
          <w:p>
            <w:pPr>
              <w:pStyle w:val="Compact"/>
            </w:pPr>
            <w:r>
              <w:t xml:space="preserve">Drift means</w:t>
            </w:r>
            <w:r>
              <w:t xml:space="preserve"> </w:t>
            </w:r>
            <w:r>
              <w:t xml:space="preserve">“configuration changed versus my snapshot,”</w:t>
            </w:r>
            <w:r>
              <w:t xml:space="preserve"> </w:t>
            </w:r>
            <w:r>
              <w:t xml:space="preserve">not</w:t>
            </w:r>
            <w:r>
              <w:t xml:space="preserve"> </w:t>
            </w:r>
            <w:r>
              <w:t xml:space="preserve">“SCuBA verdict changed”</w:t>
            </w:r>
            <w:r>
              <w:t xml:space="preserve">; no risk-acceptance model; the baseline is the operator, not the regulator</w:t>
            </w:r>
          </w:p>
        </w:tc>
      </w:tr>
    </w:tbl>
    <w:p>
      <w:pPr>
        <w:pStyle w:val="BodyText"/>
      </w:pPr>
      <w:r>
        <w:t xml:space="preserve">The structural difference is authority and lifecycle. Secure Score and</w:t>
      </w:r>
      <w:r>
        <w:t xml:space="preserve"> </w:t>
      </w:r>
      <w:r>
        <w:t xml:space="preserve">Compliance Manager are the vendor grading its own product against its own</w:t>
      </w:r>
      <w:r>
        <w:t xml:space="preserve"> </w:t>
      </w:r>
      <w:r>
        <w:t xml:space="preserve">rubric — self-attestation, the evidence class an assessor discounts first.</w:t>
      </w:r>
      <w:r>
        <w:t xml:space="preserve"> </w:t>
      </w:r>
      <w:r>
        <w:t xml:space="preserve">ScuBAGear verdicts are against the regulator’s baseline, and ScubaDrift adds</w:t>
      </w:r>
      <w:r>
        <w:t xml:space="preserve"> </w:t>
      </w:r>
      <w:r>
        <w:t xml:space="preserve">what no vendor dashboard models: the governed exception that</w:t>
      </w:r>
      <w:r>
        <w:t xml:space="preserve"> </w:t>
      </w:r>
      <w:r>
        <w:rPr>
          <w:i/>
          <w:iCs/>
        </w:rPr>
        <w:t xml:space="preserve">expires</w:t>
      </w:r>
      <w:r>
        <w:t xml:space="preserve">, the</w:t>
      </w:r>
      <w:r>
        <w:t xml:space="preserve"> </w:t>
      </w:r>
      <w:r>
        <w:t xml:space="preserve">lapsed acceptance that becomes actionable, the retirable acceptance flagged as</w:t>
      </w:r>
      <w:r>
        <w:t xml:space="preserve"> </w:t>
      </w:r>
      <w:r>
        <w:t xml:space="preserve">dead weight, and a gate with deterministic, reproducible semantics. The vendor</w:t>
      </w:r>
      <w:r>
        <w:t xml:space="preserve"> </w:t>
      </w:r>
      <w:r>
        <w:t xml:space="preserve">tools tell you your posture; this pipeline proves it, over time, against</w:t>
      </w:r>
      <w:r>
        <w:t xml:space="preserve"> </w:t>
      </w:r>
      <w:r>
        <w:t xml:space="preserve">someone else’s baseline, with every exception governed and aging.</w:t>
      </w:r>
    </w:p>
    <w:bookmarkEnd w:id="234"/>
    <w:bookmarkEnd w:id="235"/>
    <w:bookmarkStart w:id="236" w:name="quarterly-activities"/>
    <w:p>
      <w:pPr>
        <w:pStyle w:val="Heading2"/>
      </w:pPr>
      <w:r>
        <w:t xml:space="preserve">3.3 Quarterly Activities</w:t>
      </w:r>
    </w:p>
    <w:p>
      <w:pPr>
        <w:pStyle w:val="TableCaption"/>
      </w:pPr>
      <w:r>
        <w:t xml:space="preserve">Quarterly ConMon Schedule</w:t>
      </w:r>
    </w:p>
    <w:tbl>
      <w:tblPr>
        <w:tblStyle w:val="Table"/>
        <w:tblW w:type="pct" w:w="5000"/>
        <w:tblLayout w:type="fixed"/>
        <w:tblLook w:firstRow="1" w:lastRow="0" w:firstColumn="0" w:lastColumn="0" w:noHBand="0" w:noVBand="0" w:val="0020"/>
        <w:tblCaption w:val="Quarterly ConMon Schedule"/>
      </w:tblPr>
      <w:tblGrid>
        <w:gridCol w:w="766"/>
        <w:gridCol w:w="2554"/>
        <w:gridCol w:w="2299"/>
        <w:gridCol w:w="2299"/>
      </w:tblGrid>
      <w:tr>
        <w:trPr>
          <w:tblHeader w:val="on"/>
        </w:trPr>
        <w:tc>
          <w:tcPr/>
          <w:p>
            <w:pPr>
              <w:pStyle w:val="Compact"/>
            </w:pPr>
            <w:r>
              <w:t xml:space="preserve">Q</w:t>
            </w:r>
          </w:p>
        </w:tc>
        <w:tc>
          <w:tcPr/>
          <w:p>
            <w:pPr>
              <w:pStyle w:val="Compact"/>
            </w:pPr>
            <w:r>
              <w:t xml:space="preserve">Activity</w:t>
            </w:r>
          </w:p>
        </w:tc>
        <w:tc>
          <w:tcPr/>
          <w:p>
            <w:pPr>
              <w:pStyle w:val="Compact"/>
            </w:pPr>
            <w:r>
              <w:t xml:space="preserve">Controls</w:t>
            </w:r>
          </w:p>
        </w:tc>
        <w:tc>
          <w:tcPr/>
          <w:p>
            <w:pPr>
              <w:pStyle w:val="Compact"/>
            </w:pPr>
            <w:r>
              <w:t xml:space="preserve">Evidence</w:t>
            </w:r>
          </w:p>
        </w:tc>
      </w:tr>
      <w:tr>
        <w:tc>
          <w:tcPr/>
          <w:p>
            <w:pPr>
              <w:pStyle w:val="Compact"/>
            </w:pPr>
            <w:r>
              <w:t xml:space="preserve">Q1/Q2/Q3/Q4</w:t>
            </w:r>
          </w:p>
        </w:tc>
        <w:tc>
          <w:tcPr/>
          <w:p>
            <w:pPr>
              <w:pStyle w:val="Compact"/>
            </w:pPr>
            <w:r>
              <w:t xml:space="preserve">KSI evidence quality review</w:t>
            </w:r>
          </w:p>
        </w:tc>
        <w:tc>
          <w:tcPr/>
          <w:p>
            <w:pPr>
              <w:pStyle w:val="Compact"/>
            </w:pPr>
            <w:r>
              <w:t xml:space="preserve">CA-7(3)</w:t>
            </w:r>
          </w:p>
        </w:tc>
        <w:tc>
          <w:tcPr/>
          <w:p>
            <w:pPr>
              <w:pStyle w:val="Compact"/>
            </w:pPr>
            <w:r>
              <w:t xml:space="preserve">Trend report from AR history</w:t>
            </w:r>
          </w:p>
        </w:tc>
      </w:tr>
      <w:tr>
        <w:tc>
          <w:tcPr/>
          <w:p>
            <w:pPr>
              <w:pStyle w:val="Compact"/>
            </w:pPr>
            <w:r>
              <w:t xml:space="preserve">Q1/Q2/Q3/Q4</w:t>
            </w:r>
          </w:p>
        </w:tc>
        <w:tc>
          <w:tcPr/>
          <w:p>
            <w:pPr>
              <w:pStyle w:val="Compact"/>
            </w:pPr>
            <w:r>
              <w:t xml:space="preserve">Training completion review</w:t>
            </w:r>
          </w:p>
        </w:tc>
        <w:tc>
          <w:tcPr/>
          <w:p>
            <w:pPr>
              <w:pStyle w:val="Compact"/>
            </w:pPr>
            <w:r>
              <w:t xml:space="preserve">AT-4, KSI-022</w:t>
            </w:r>
          </w:p>
        </w:tc>
        <w:tc>
          <w:tcPr/>
          <w:p>
            <w:pPr>
              <w:pStyle w:val="Compact"/>
            </w:pPr>
            <w:r>
              <w:rPr>
                <w:rStyle w:val="VerbatimChar"/>
              </w:rPr>
              <w:t xml:space="preserve">governance.training-effectiveness-record</w:t>
            </w:r>
          </w:p>
        </w:tc>
      </w:tr>
      <w:tr>
        <w:tc>
          <w:tcPr/>
          <w:p>
            <w:pPr>
              <w:pStyle w:val="Compact"/>
            </w:pPr>
            <w:r>
              <w:t xml:space="preserve">Q1/Q2/Q3/Q4</w:t>
            </w:r>
          </w:p>
        </w:tc>
        <w:tc>
          <w:tcPr/>
          <w:p>
            <w:pPr>
              <w:pStyle w:val="Compact"/>
            </w:pPr>
            <w:r>
              <w:t xml:space="preserve">Slot binding confidence review</w:t>
            </w:r>
          </w:p>
        </w:tc>
        <w:tc>
          <w:tcPr/>
          <w:p>
            <w:pPr>
              <w:pStyle w:val="Compact"/>
            </w:pPr>
            <w:r>
              <w:t xml:space="preserve">CA-7</w:t>
            </w:r>
          </w:p>
        </w:tc>
        <w:tc>
          <w:tcPr/>
          <w:p>
            <w:pPr>
              <w:pStyle w:val="Compact"/>
            </w:pPr>
            <w:r>
              <w:t xml:space="preserve">Slot YAML audit</w:t>
            </w:r>
          </w:p>
        </w:tc>
      </w:tr>
      <w:tr>
        <w:tc>
          <w:tcPr/>
          <w:p>
            <w:pPr>
              <w:pStyle w:val="Compact"/>
            </w:pPr>
            <w:r>
              <w:t xml:space="preserve">Q1/Q3</w:t>
            </w:r>
          </w:p>
        </w:tc>
        <w:tc>
          <w:tcPr/>
          <w:p>
            <w:pPr>
              <w:pStyle w:val="Compact"/>
            </w:pPr>
            <w:r>
              <w:t xml:space="preserve">Privileged access review</w:t>
            </w:r>
          </w:p>
        </w:tc>
        <w:tc>
          <w:tcPr/>
          <w:p>
            <w:pPr>
              <w:pStyle w:val="Compact"/>
            </w:pPr>
            <w:r>
              <w:t xml:space="preserve">AC-6, KSI-IAM</w:t>
            </w:r>
          </w:p>
        </w:tc>
        <w:tc>
          <w:tcPr/>
          <w:p>
            <w:pPr>
              <w:pStyle w:val="Compact"/>
            </w:pPr>
            <w:r>
              <w:t xml:space="preserve">Entra PIM access review</w:t>
            </w:r>
          </w:p>
        </w:tc>
      </w:tr>
    </w:tbl>
    <w:bookmarkEnd w:id="236"/>
    <w:bookmarkStart w:id="237" w:name="semi-annual-activities"/>
    <w:p>
      <w:pPr>
        <w:pStyle w:val="Heading2"/>
      </w:pPr>
      <w:r>
        <w:t xml:space="preserve">3.4 Semi-Annual Activities</w:t>
      </w:r>
    </w:p>
    <w:tbl>
      <w:tblPr>
        <w:tblStyle w:val="Table"/>
        <w:tblW w:type="pct" w:w="5000"/>
        <w:tblLayout w:type="fixed"/>
        <w:tblLook w:firstRow="1" w:lastRow="0" w:firstColumn="0" w:lastColumn="0" w:noHBand="0" w:noVBand="0" w:val="0020"/>
      </w:tblPr>
      <w:tblGrid>
        <w:gridCol w:w="2640"/>
        <w:gridCol w:w="2376"/>
        <w:gridCol w:w="2904"/>
      </w:tblGrid>
      <w:tr>
        <w:trPr>
          <w:tblHeader w:val="on"/>
        </w:trPr>
        <w:tc>
          <w:tcPr/>
          <w:p>
            <w:pPr>
              <w:pStyle w:val="Compact"/>
            </w:pPr>
            <w:r>
              <w:t xml:space="preserve">Activity</w:t>
            </w:r>
          </w:p>
        </w:tc>
        <w:tc>
          <w:tcPr/>
          <w:p>
            <w:pPr>
              <w:pStyle w:val="Compact"/>
            </w:pPr>
            <w:r>
              <w:t xml:space="preserve">Controls</w:t>
            </w:r>
          </w:p>
        </w:tc>
        <w:tc>
          <w:tcPr/>
          <w:p>
            <w:pPr>
              <w:pStyle w:val="Compact"/>
            </w:pPr>
            <w:r>
              <w:t xml:space="preserve">Reference</w:t>
            </w:r>
          </w:p>
        </w:tc>
      </w:tr>
      <w:tr>
        <w:tc>
          <w:tcPr/>
          <w:p>
            <w:pPr>
              <w:pStyle w:val="Compact"/>
            </w:pPr>
            <w:r>
              <w:t xml:space="preserve">IR tabletop drill (SOC scenario exercise)</w:t>
            </w:r>
          </w:p>
        </w:tc>
        <w:tc>
          <w:tcPr/>
          <w:p>
            <w:pPr>
              <w:pStyle w:val="Compact"/>
            </w:pPr>
            <w:r>
              <w:t xml:space="preserve">IR-2, KSI-INR</w:t>
            </w:r>
          </w:p>
        </w:tc>
        <w:tc>
          <w:tcPr/>
          <w:p>
            <w:pPr>
              <w:pStyle w:val="Compact"/>
            </w:pPr>
            <w:r>
              <w:t xml:space="preserve">Vol IV Book 05 §6 Incident Response and DR Training</w:t>
            </w:r>
          </w:p>
        </w:tc>
      </w:tr>
      <w:tr>
        <w:tc>
          <w:tcPr/>
          <w:p>
            <w:pPr>
              <w:pStyle w:val="Compact"/>
            </w:pPr>
            <w:r>
              <w:t xml:space="preserve">CP-3 contingency training exercise</w:t>
            </w:r>
          </w:p>
        </w:tc>
        <w:tc>
          <w:tcPr/>
          <w:p>
            <w:pPr>
              <w:pStyle w:val="Compact"/>
            </w:pPr>
            <w:r>
              <w:t xml:space="preserve">CP-3, KSI-RPL</w:t>
            </w:r>
          </w:p>
        </w:tc>
        <w:tc>
          <w:tcPr/>
          <w:p>
            <w:pPr>
              <w:pStyle w:val="Compact"/>
            </w:pPr>
            <w:r>
              <w:t xml:space="preserve">Vol IV Book 01 §4 Tabletop Calendar</w:t>
            </w:r>
          </w:p>
        </w:tc>
      </w:tr>
      <w:tr>
        <w:tc>
          <w:tcPr/>
          <w:p>
            <w:pPr>
              <w:pStyle w:val="Compact"/>
            </w:pPr>
            <w:r>
              <w:t xml:space="preserve">SBOM freshness + VDR/VER review</w:t>
            </w:r>
          </w:p>
        </w:tc>
        <w:tc>
          <w:tcPr/>
          <w:p>
            <w:pPr>
              <w:pStyle w:val="Compact"/>
            </w:pPr>
            <w:r>
              <w:t xml:space="preserve">SR-5, SR-6, KSI-SCR</w:t>
            </w:r>
          </w:p>
        </w:tc>
        <w:tc>
          <w:tcPr/>
          <w:p>
            <w:pPr>
              <w:pStyle w:val="Compact"/>
            </w:pPr>
            <w:r>
              <w:t xml:space="preserve">Vol IV Book 02 §3 Vulnerability Disclosure Report (VDR)</w:t>
            </w:r>
          </w:p>
        </w:tc>
      </w:tr>
    </w:tbl>
    <w:bookmarkEnd w:id="237"/>
    <w:bookmarkStart w:id="238" w:name="annual-activities"/>
    <w:p>
      <w:pPr>
        <w:pStyle w:val="Heading2"/>
      </w:pPr>
      <w:r>
        <w:t xml:space="preserve">3.5 Annual Activities</w:t>
      </w:r>
    </w:p>
    <w:tbl>
      <w:tblPr>
        <w:tblStyle w:val="Table"/>
        <w:tblW w:type="pct" w:w="5000"/>
        <w:tblLayout w:type="fixed"/>
        <w:tblLook w:firstRow="1" w:lastRow="0" w:firstColumn="0" w:lastColumn="0" w:noHBand="0" w:noVBand="0" w:val="0020"/>
      </w:tblPr>
      <w:tblGrid>
        <w:gridCol w:w="3046"/>
        <w:gridCol w:w="2741"/>
        <w:gridCol w:w="2132"/>
      </w:tblGrid>
      <w:tr>
        <w:trPr>
          <w:tblHeader w:val="on"/>
        </w:trPr>
        <w:tc>
          <w:tcPr/>
          <w:p>
            <w:pPr>
              <w:pStyle w:val="Compact"/>
            </w:pPr>
            <w:r>
              <w:t xml:space="preserve">Activity</w:t>
            </w:r>
          </w:p>
        </w:tc>
        <w:tc>
          <w:tcPr/>
          <w:p>
            <w:pPr>
              <w:pStyle w:val="Compact"/>
            </w:pPr>
            <w:r>
              <w:t xml:space="preserve">Controls</w:t>
            </w:r>
          </w:p>
        </w:tc>
        <w:tc>
          <w:tcPr/>
          <w:p>
            <w:pPr>
              <w:pStyle w:val="Compact"/>
            </w:pPr>
            <w:r>
              <w:t xml:space="preserve">Owner</w:t>
            </w:r>
          </w:p>
        </w:tc>
      </w:tr>
      <w:tr>
        <w:tc>
          <w:tcPr/>
          <w:p>
            <w:pPr>
              <w:pStyle w:val="Compact"/>
            </w:pPr>
            <w:r>
              <w:t xml:space="preserve">Full KSI re-assessment (all 29 rules)</w:t>
            </w:r>
          </w:p>
        </w:tc>
        <w:tc>
          <w:tcPr/>
          <w:p>
            <w:pPr>
              <w:pStyle w:val="Compact"/>
            </w:pPr>
            <w:r>
              <w:t xml:space="preserve">CA-2, CA-7</w:t>
            </w:r>
          </w:p>
        </w:tc>
        <w:tc>
          <w:tcPr/>
          <w:p>
            <w:pPr>
              <w:pStyle w:val="Compact"/>
            </w:pPr>
            <w:r>
              <w:t xml:space="preserve">ISSO</w:t>
            </w:r>
          </w:p>
        </w:tc>
      </w:tr>
      <w:tr>
        <w:tc>
          <w:tcPr/>
          <w:p>
            <w:pPr>
              <w:pStyle w:val="Compact"/>
            </w:pPr>
            <w:r>
              <w:t xml:space="preserve">AT-2 annual security awareness training refresh</w:t>
            </w:r>
          </w:p>
        </w:tc>
        <w:tc>
          <w:tcPr/>
          <w:p>
            <w:pPr>
              <w:pStyle w:val="Compact"/>
            </w:pPr>
            <w:r>
              <w:t xml:space="preserve">AT-2, KSI-CED</w:t>
            </w:r>
          </w:p>
        </w:tc>
        <w:tc>
          <w:tcPr/>
          <w:p>
            <w:pPr>
              <w:pStyle w:val="Compact"/>
            </w:pPr>
            <w:r>
              <w:t xml:space="preserve">HR / Training Coordinator</w:t>
            </w:r>
          </w:p>
        </w:tc>
      </w:tr>
      <w:tr>
        <w:tc>
          <w:tcPr/>
          <w:p>
            <w:pPr>
              <w:pStyle w:val="Compact"/>
            </w:pPr>
            <w:r>
              <w:t xml:space="preserve">CP-2 contingency plan update</w:t>
            </w:r>
          </w:p>
        </w:tc>
        <w:tc>
          <w:tcPr/>
          <w:p>
            <w:pPr>
              <w:pStyle w:val="Compact"/>
            </w:pPr>
            <w:r>
              <w:t xml:space="preserve">CP-2, KSI-RPL</w:t>
            </w:r>
          </w:p>
        </w:tc>
        <w:tc>
          <w:tcPr/>
          <w:p>
            <w:pPr>
              <w:pStyle w:val="Compact"/>
            </w:pPr>
            <w:r>
              <w:t xml:space="preserve">Business Continuity Lead</w:t>
            </w:r>
          </w:p>
        </w:tc>
      </w:tr>
      <w:tr>
        <w:tc>
          <w:tcPr/>
          <w:p>
            <w:pPr>
              <w:pStyle w:val="Compact"/>
            </w:pPr>
            <w:r>
              <w:t xml:space="preserve">PM-14 T&amp;T&amp;M plan annual update</w:t>
            </w:r>
          </w:p>
        </w:tc>
        <w:tc>
          <w:tcPr/>
          <w:p>
            <w:pPr>
              <w:pStyle w:val="Compact"/>
            </w:pPr>
            <w:r>
              <w:t xml:space="preserve">PM-14</w:t>
            </w:r>
          </w:p>
        </w:tc>
        <w:tc>
          <w:tcPr/>
          <w:p>
            <w:pPr>
              <w:pStyle w:val="Compact"/>
            </w:pPr>
            <w:r>
              <w:t xml:space="preserve">ISSM</w:t>
            </w:r>
          </w:p>
        </w:tc>
      </w:tr>
      <w:tr>
        <w:tc>
          <w:tcPr/>
          <w:p>
            <w:pPr>
              <w:pStyle w:val="Compact"/>
            </w:pPr>
            <w:r>
              <w:t xml:space="preserve">ATO renewal package preparation</w:t>
            </w:r>
          </w:p>
        </w:tc>
        <w:tc>
          <w:tcPr/>
          <w:p>
            <w:pPr>
              <w:pStyle w:val="Compact"/>
            </w:pPr>
            <w:r>
              <w:t xml:space="preserve">CA-6</w:t>
            </w:r>
          </w:p>
        </w:tc>
        <w:tc>
          <w:tcPr/>
          <w:p>
            <w:pPr>
              <w:pStyle w:val="Compact"/>
            </w:pPr>
            <w:r>
              <w:t xml:space="preserve">ISSO + Authorizing Official</w:t>
            </w:r>
          </w:p>
        </w:tc>
      </w:tr>
      <w:tr>
        <w:tc>
          <w:tcPr/>
          <w:p>
            <w:pPr>
              <w:pStyle w:val="Compact"/>
            </w:pPr>
            <w:r>
              <w:t xml:space="preserve">BOD 26-04 SBOM annual certification</w:t>
            </w:r>
          </w:p>
        </w:tc>
        <w:tc>
          <w:tcPr/>
          <w:p>
            <w:pPr>
              <w:pStyle w:val="Compact"/>
            </w:pPr>
            <w:r>
              <w:t xml:space="preserve">SR-11, KSI-SCR</w:t>
            </w:r>
          </w:p>
        </w:tc>
        <w:tc>
          <w:tcPr/>
          <w:p>
            <w:pPr>
              <w:pStyle w:val="Compact"/>
            </w:pPr>
            <w:r>
              <w:t xml:space="preserve">SR team</w:t>
            </w:r>
          </w:p>
        </w:tc>
      </w:tr>
    </w:tbl>
    <w:bookmarkEnd w:id="238"/>
    <w:bookmarkStart w:id="239" w:name="trend-analyses-ca-73"/>
    <w:p>
      <w:pPr>
        <w:pStyle w:val="Heading2"/>
      </w:pPr>
      <w:r>
        <w:t xml:space="preserve">3.6 Trend Analyses (CA-7(3))</w:t>
      </w:r>
    </w:p>
    <w:p>
      <w:pPr>
        <w:pStyle w:val="FirstParagraph"/>
      </w:pPr>
      <w:r>
        <w:t xml:space="preserve">The OSCAL AR tracks KSI verdict history across assessment cycles. Trend analysis</w:t>
      </w:r>
      <w:r>
        <w:t xml:space="preserve"> </w:t>
      </w:r>
      <w:r>
        <w:t xml:space="preserve">is performed quarterly by comparing the current AR against the previous three</w:t>
      </w:r>
      <w:r>
        <w:t xml:space="preserve"> </w:t>
      </w:r>
      <w:r>
        <w:t xml:space="preserve">months of AR snapshots:</w:t>
      </w:r>
    </w:p>
    <w:p>
      <w:pPr>
        <w:pStyle w:val="SourceCode"/>
      </w:pPr>
      <w:r>
        <w:rPr>
          <w:rStyle w:val="CommentTok"/>
        </w:rPr>
        <w:t xml:space="preserve"># Compare current AR with previous quarter's snapshot</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ksi-ar</w:t>
      </w:r>
      <w:r>
        <w:rPr>
          <w:rStyle w:val="NormalTok"/>
        </w:rPr>
        <w:t xml:space="preserve"> </w:t>
      </w:r>
      <w:r>
        <w:rPr>
          <w:rStyle w:val="AttributeTok"/>
        </w:rPr>
        <w:t xml:space="preserve">--output-path</w:t>
      </w:r>
      <w:r>
        <w:rPr>
          <w:rStyle w:val="NormalTok"/>
        </w:rPr>
        <w:t xml:space="preserve"> output/artifacts/ksi-bundle/ksi-ar-</w:t>
      </w:r>
      <w:r>
        <w:rPr>
          <w:rStyle w:val="VariableTok"/>
        </w:rPr>
        <w:t xml:space="preserve">$(</w:t>
      </w:r>
      <w:r>
        <w:rPr>
          <w:rStyle w:val="FunctionTok"/>
        </w:rPr>
        <w:t xml:space="preserve">date</w:t>
      </w:r>
      <w:r>
        <w:rPr>
          <w:rStyle w:val="NormalTok"/>
        </w:rPr>
        <w:t xml:space="preserve"> +%Y%m</w:t>
      </w:r>
      <w:r>
        <w:rPr>
          <w:rStyle w:val="VariableTok"/>
        </w:rPr>
        <w:t xml:space="preserve">)</w:t>
      </w:r>
      <w:r>
        <w:rPr>
          <w:rStyle w:val="NormalTok"/>
        </w:rPr>
        <w:t xml:space="preserve">.json</w:t>
      </w:r>
      <w:r>
        <w:br/>
      </w:r>
      <w:r>
        <w:br/>
      </w:r>
      <w:r>
        <w:rPr>
          <w:rStyle w:val="CommentTok"/>
        </w:rPr>
        <w:t xml:space="preserve"># Historical ARs accumulate in output/artifacts/ksi-bundle/history/</w:t>
      </w:r>
      <w:r>
        <w:br/>
      </w:r>
      <w:r>
        <w:rPr>
          <w:rStyle w:val="CommentTok"/>
        </w:rPr>
        <w:t xml:space="preserve"># Trend: satisfied count should be stable at 29; any drop triggers POA&amp;M entry</w:t>
      </w:r>
    </w:p>
    <w:p>
      <w:pPr>
        <w:pStyle w:val="FirstParagraph"/>
      </w:pPr>
      <w:r>
        <w:t xml:space="preserve">A downward trend in satisfied count (e.g., a training completion gap dropping</w:t>
      </w:r>
      <w:r>
        <w:t xml:space="preserve"> </w:t>
      </w:r>
      <w:r>
        <w:t xml:space="preserve">KSI-022 to not-satisfied) triggers automatic POA&amp;M creation on the next bundle</w:t>
      </w:r>
      <w:r>
        <w:t xml:space="preserve"> </w:t>
      </w:r>
      <w:r>
        <w:t xml:space="preserve">run, providing the AO with an early warning signal.</w:t>
      </w:r>
    </w:p>
    <w:p>
      <w:r>
        <w:pict>
          <v:rect style="width:0;height:1.5pt" o:hralign="center" o:hrstd="t" o:hr="t"/>
        </w:pict>
      </w:r>
    </w:p>
    <w:bookmarkEnd w:id="239"/>
    <w:bookmarkEnd w:id="240"/>
    <w:bookmarkStart w:id="244" w:name="agency-authorization-package-ca-6"/>
    <w:p>
      <w:pPr>
        <w:pStyle w:val="Heading1"/>
      </w:pPr>
      <w:r>
        <w:t xml:space="preserve">4 Agency Authorization Package (CA-6)</w:t>
      </w:r>
    </w:p>
    <w:bookmarkStart w:id="241" w:name="package-components"/>
    <w:p>
      <w:pPr>
        <w:pStyle w:val="Heading2"/>
      </w:pPr>
      <w:r>
        <w:t xml:space="preserve">4.1 Package Components</w:t>
      </w:r>
    </w:p>
    <w:p>
      <w:pPr>
        <w:pStyle w:val="FirstParagraph"/>
      </w:pPr>
      <w:r>
        <w:t xml:space="preserve">The agency RMF authorization package (ConMon evidence modeled on the FedRAMP</w:t>
      </w:r>
      <w:r>
        <w:t xml:space="preserve"> </w:t>
      </w:r>
      <w:r>
        <w:t xml:space="preserve">20x KSI schema) has a simpler evidence structure than a traditional package:</w:t>
      </w:r>
      <w:r>
        <w:t xml:space="preserve"> </w:t>
      </w:r>
      <w:r>
        <w:t xml:space="preserve">the 20x KSI-evidence model replaces the ~323-control Rev 5 Moderate baseline audit binder for the CSOs</w:t>
      </w:r>
      <w:r>
        <w:t xml:space="preserve"> </w:t>
      </w:r>
      <w:r>
        <w:t xml:space="preserve">Agency inherits, and this package adopts the same machine-readable model for the</w:t>
      </w:r>
      <w:r>
        <w:t xml:space="preserve"> </w:t>
      </w:r>
      <w:r>
        <w:t xml:space="preserve">agency’s own ConMon evidence. The authorization package consists of:</w:t>
      </w:r>
    </w:p>
    <w:p>
      <w:pPr>
        <w:pStyle w:val="TableCaption"/>
      </w:pPr>
      <w:r>
        <w:t xml:space="preserve">Agency Authorization Package — Component Index</w:t>
      </w:r>
    </w:p>
    <w:tbl>
      <w:tblPr>
        <w:tblStyle w:val="Table"/>
        <w:tblW w:type="pct" w:w="5000"/>
        <w:tblLayout w:type="fixed"/>
        <w:tblLook w:firstRow="1" w:lastRow="0" w:firstColumn="0" w:lastColumn="0" w:noHBand="0" w:noVBand="0" w:val="0020"/>
        <w:tblCaption w:val="Agency Authorization Package — Component Index"/>
      </w:tblPr>
      <w:tblGrid>
        <w:gridCol w:w="3226"/>
        <w:gridCol w:w="2346"/>
        <w:gridCol w:w="2346"/>
      </w:tblGrid>
      <w:tr>
        <w:trPr>
          <w:tblHeader w:val="on"/>
        </w:trPr>
        <w:tc>
          <w:tcPr/>
          <w:p>
            <w:pPr>
              <w:pStyle w:val="Compact"/>
            </w:pPr>
            <w:r>
              <w:t xml:space="preserve">Component</w:t>
            </w:r>
          </w:p>
        </w:tc>
        <w:tc>
          <w:tcPr/>
          <w:p>
            <w:pPr>
              <w:pStyle w:val="Compact"/>
            </w:pPr>
            <w:r>
              <w:t xml:space="preserve">Format</w:t>
            </w:r>
          </w:p>
        </w:tc>
        <w:tc>
          <w:tcPr/>
          <w:p>
            <w:pPr>
              <w:pStyle w:val="Compact"/>
            </w:pPr>
            <w:r>
              <w:t xml:space="preserve">Source</w:t>
            </w:r>
          </w:p>
        </w:tc>
      </w:tr>
      <w:tr>
        <w:tc>
          <w:tcPr/>
          <w:p>
            <w:pPr>
              <w:pStyle w:val="Compact"/>
            </w:pPr>
            <w:r>
              <w:t xml:space="preserve">System Security Plan (SSP)</w:t>
            </w:r>
          </w:p>
        </w:tc>
        <w:tc>
          <w:tcPr/>
          <w:p>
            <w:pPr>
              <w:pStyle w:val="Compact"/>
            </w:pPr>
            <w:r>
              <w:t xml:space="preserve">OSCAL JSON</w:t>
            </w:r>
          </w:p>
        </w:tc>
        <w:tc>
          <w:tcPr/>
          <w:p>
            <w:pPr>
              <w:pStyle w:val="Compact"/>
            </w:pPr>
            <w:r>
              <w:rPr>
                <w:rStyle w:val="VerbatimChar"/>
              </w:rPr>
              <w:t xml:space="preserve">&lt;engine&gt; generate ssp</w:t>
            </w:r>
            <w:r>
              <w:t xml:space="preserve"> </w:t>
            </w:r>
            <w:r>
              <w:t xml:space="preserve">(Vol I Book 01 architecture as baseline)</w:t>
            </w:r>
          </w:p>
        </w:tc>
      </w:tr>
      <w:tr>
        <w:tc>
          <w:tcPr/>
          <w:p>
            <w:pPr>
              <w:pStyle w:val="Compact"/>
            </w:pPr>
            <w:r>
              <w:t xml:space="preserve">KSI Assessment Plan (AP)</w:t>
            </w:r>
          </w:p>
        </w:tc>
        <w:tc>
          <w:tcPr/>
          <w:p>
            <w:pPr>
              <w:pStyle w:val="Compact"/>
            </w:pPr>
            <w:r>
              <w:t xml:space="preserve">OSCAL JSON</w:t>
            </w:r>
          </w:p>
        </w:tc>
        <w:tc>
          <w:tcPr/>
          <w:p>
            <w:pPr>
              <w:pStyle w:val="Compact"/>
            </w:pPr>
            <w:r>
              <w:rPr>
                <w:rStyle w:val="VerbatimChar"/>
              </w:rPr>
              <w:t xml:space="preserve">output/artifacts/ksi-bundle/ksi-ap.json</w:t>
            </w:r>
          </w:p>
        </w:tc>
      </w:tr>
      <w:tr>
        <w:tc>
          <w:tcPr/>
          <w:p>
            <w:pPr>
              <w:pStyle w:val="Compact"/>
            </w:pPr>
            <w:r>
              <w:t xml:space="preserve">KSI Assessment Results (AR)</w:t>
            </w:r>
          </w:p>
        </w:tc>
        <w:tc>
          <w:tcPr/>
          <w:p>
            <w:pPr>
              <w:pStyle w:val="Compact"/>
            </w:pPr>
            <w:r>
              <w:t xml:space="preserve">OSCAL JSON</w:t>
            </w:r>
          </w:p>
        </w:tc>
        <w:tc>
          <w:tcPr/>
          <w:p>
            <w:pPr>
              <w:pStyle w:val="Compact"/>
            </w:pPr>
            <w:r>
              <w:rPr>
                <w:rStyle w:val="VerbatimChar"/>
              </w:rPr>
              <w:t xml:space="preserve">output/artifacts/ksi-bundle/ksi-ar.json</w:t>
            </w:r>
          </w:p>
        </w:tc>
      </w:tr>
      <w:tr>
        <w:tc>
          <w:tcPr/>
          <w:p>
            <w:pPr>
              <w:pStyle w:val="Compact"/>
            </w:pPr>
            <w:r>
              <w:t xml:space="preserve">Plan of Action &amp; Milestones</w:t>
            </w:r>
          </w:p>
        </w:tc>
        <w:tc>
          <w:tcPr/>
          <w:p>
            <w:pPr>
              <w:pStyle w:val="Compact"/>
            </w:pPr>
            <w:r>
              <w:t xml:space="preserve">OSCAL JSON</w:t>
            </w:r>
          </w:p>
        </w:tc>
        <w:tc>
          <w:tcPr/>
          <w:p>
            <w:pPr>
              <w:pStyle w:val="Compact"/>
            </w:pPr>
            <w:r>
              <w:rPr>
                <w:rStyle w:val="VerbatimChar"/>
              </w:rPr>
              <w:t xml:space="preserve">output/artifacts/ksi-bundle/ksi-poam.json</w:t>
            </w:r>
          </w:p>
        </w:tc>
      </w:tr>
      <w:tr>
        <w:tc>
          <w:tcPr/>
          <w:p>
            <w:pPr>
              <w:pStyle w:val="Compact"/>
            </w:pPr>
            <w:r>
              <w:t xml:space="preserve">Compliance Evidence Book Series</w:t>
            </w:r>
          </w:p>
        </w:tc>
        <w:tc>
          <w:tcPr/>
          <w:p>
            <w:pPr>
              <w:pStyle w:val="Compact"/>
            </w:pPr>
            <w:r>
              <w:t xml:space="preserve">DOCX</w:t>
            </w:r>
          </w:p>
        </w:tc>
        <w:tc>
          <w:tcPr/>
          <w:p>
            <w:pPr>
              <w:pStyle w:val="Compact"/>
            </w:pPr>
            <w:r>
              <w:t xml:space="preserve">the preceding twenty-two content books, Volumes I–IV (docs/customer-documents/federal-compliance-series/)</w:t>
            </w:r>
          </w:p>
        </w:tc>
      </w:tr>
      <w:tr>
        <w:tc>
          <w:tcPr/>
          <w:p>
            <w:pPr>
              <w:pStyle w:val="Compact"/>
            </w:pPr>
            <w:r>
              <w:t xml:space="preserve">BOD 26-04 VDR Submission</w:t>
            </w:r>
          </w:p>
        </w:tc>
        <w:tc>
          <w:tcPr/>
          <w:p>
            <w:pPr>
              <w:pStyle w:val="Compact"/>
            </w:pPr>
            <w:r>
              <w:t xml:space="preserve">CycloneDX 1.6 JSON</w:t>
            </w:r>
          </w:p>
        </w:tc>
        <w:tc>
          <w:tcPr/>
          <w:p>
            <w:pPr>
              <w:pStyle w:val="Compact"/>
            </w:pPr>
            <w:r>
              <w:t xml:space="preserve">Vol IV Book 02 SBOM pipeline</w:t>
            </w:r>
          </w:p>
        </w:tc>
      </w:tr>
      <w:tr>
        <w:tc>
          <w:tcPr/>
          <w:p>
            <w:pPr>
              <w:pStyle w:val="Compact"/>
            </w:pPr>
            <w:r>
              <w:t xml:space="preserve">Training Effectiveness Record</w:t>
            </w:r>
          </w:p>
        </w:tc>
        <w:tc>
          <w:tcPr/>
          <w:p>
            <w:pPr>
              <w:pStyle w:val="Compact"/>
            </w:pPr>
            <w:r>
              <w:t xml:space="preserve">JSON</w:t>
            </w:r>
          </w:p>
        </w:tc>
        <w:tc>
          <w:tcPr/>
          <w:p>
            <w:pPr>
              <w:pStyle w:val="Compact"/>
            </w:pPr>
            <w:r>
              <w:rPr>
                <w:rStyle w:val="VerbatimChar"/>
              </w:rPr>
              <w:t xml:space="preserve">governance.training-effectiveness-record</w:t>
            </w:r>
            <w:r>
              <w:t xml:space="preserve"> </w:t>
            </w:r>
            <w:r>
              <w:t xml:space="preserve">(Vol IV Book 05)</w:t>
            </w:r>
          </w:p>
        </w:tc>
      </w:tr>
    </w:tbl>
    <w:bookmarkEnd w:id="241"/>
    <w:bookmarkStart w:id="242" w:name="authorization-timeline"/>
    <w:p>
      <w:pPr>
        <w:pStyle w:val="Heading2"/>
      </w:pPr>
      <w:r>
        <w:t xml:space="preserve">4.2 Authorization Timeline</w:t>
      </w:r>
    </w:p>
    <w:p>
      <w:pPr>
        <w:pStyle w:val="TableCaption"/>
      </w:pPr>
      <w:r>
        <w:t xml:space="preserve">Authorization Timeline</w:t>
      </w:r>
    </w:p>
    <w:tbl>
      <w:tblPr>
        <w:tblStyle w:val="Table"/>
        <w:tblW w:type="pct" w:w="5000"/>
        <w:tblLayout w:type="fixed"/>
        <w:tblLook w:firstRow="1" w:lastRow="0" w:firstColumn="0" w:lastColumn="0" w:noHBand="0" w:noVBand="0" w:val="0020"/>
        <w:tblCaption w:val="Authorization Timeline"/>
      </w:tblPr>
      <w:tblGrid>
        <w:gridCol w:w="3484"/>
        <w:gridCol w:w="1900"/>
        <w:gridCol w:w="2534"/>
      </w:tblGrid>
      <w:tr>
        <w:trPr>
          <w:tblHeader w:val="on"/>
        </w:trPr>
        <w:tc>
          <w:tcPr/>
          <w:p>
            <w:pPr>
              <w:pStyle w:val="Compact"/>
            </w:pPr>
            <w:r>
              <w:t xml:space="preserve">Milestone</w:t>
            </w:r>
          </w:p>
        </w:tc>
        <w:tc>
          <w:tcPr/>
          <w:p>
            <w:pPr>
              <w:pStyle w:val="Compact"/>
            </w:pPr>
            <w:r>
              <w:t xml:space="preserve">Date</w:t>
            </w:r>
          </w:p>
        </w:tc>
        <w:tc>
          <w:tcPr/>
          <w:p>
            <w:pPr>
              <w:pStyle w:val="Compact"/>
            </w:pPr>
            <w:r>
              <w:t xml:space="preserve">Status</w:t>
            </w:r>
          </w:p>
        </w:tc>
      </w:tr>
      <w:tr>
        <w:tc>
          <w:tcPr/>
          <w:p>
            <w:pPr>
              <w:pStyle w:val="Compact"/>
            </w:pPr>
            <w:r>
              <w:t xml:space="preserve">FedRAMP 20x Class A opens (CSO pipeline — inherited providers)</w:t>
            </w:r>
          </w:p>
        </w:tc>
        <w:tc>
          <w:tcPr/>
          <w:p>
            <w:pPr>
              <w:pStyle w:val="Compact"/>
            </w:pPr>
            <w:r>
              <w:t xml:space="preserve">Aug 3, 2026</w:t>
            </w:r>
          </w:p>
        </w:tc>
        <w:tc>
          <w:tcPr/>
          <w:p>
            <w:pPr>
              <w:pStyle w:val="Compact"/>
            </w:pPr>
            <w:r>
              <w:t xml:space="preserve">Upcoming</w:t>
            </w:r>
          </w:p>
        </w:tc>
      </w:tr>
      <w:tr>
        <w:tc>
          <w:tcPr/>
          <w:p>
            <w:pPr>
              <w:pStyle w:val="Compact"/>
            </w:pPr>
            <w:r>
              <w:t xml:space="preserve">FedRAMP 20x Class B + C opens (CSO pipeline — inherited providers)</w:t>
            </w:r>
          </w:p>
        </w:tc>
        <w:tc>
          <w:tcPr/>
          <w:p>
            <w:pPr>
              <w:pStyle w:val="Compact"/>
            </w:pPr>
            <w:r>
              <w:t xml:space="preserve">Aug 31, 2026</w:t>
            </w:r>
          </w:p>
        </w:tc>
        <w:tc>
          <w:tcPr/>
          <w:p>
            <w:pPr>
              <w:pStyle w:val="Compact"/>
            </w:pPr>
            <w:r>
              <w:t xml:space="preserve">Upcoming</w:t>
            </w:r>
          </w:p>
        </w:tc>
      </w:tr>
      <w:tr>
        <w:tc>
          <w:tcPr/>
          <w:p>
            <w:pPr>
              <w:pStyle w:val="Compact"/>
            </w:pPr>
            <w:r>
              <w:t xml:space="preserve">BOD 26-04 VDR/VER deadline (CISA submission)</w:t>
            </w:r>
          </w:p>
        </w:tc>
        <w:tc>
          <w:tcPr/>
          <w:p>
            <w:pPr>
              <w:pStyle w:val="Compact"/>
            </w:pPr>
            <w:r>
              <w:rPr>
                <w:b/>
                <w:bCs/>
              </w:rPr>
              <w:t xml:space="preserve">Dec 7, 2026</w:t>
            </w:r>
          </w:p>
        </w:tc>
        <w:tc>
          <w:tcPr/>
          <w:p>
            <w:pPr>
              <w:pStyle w:val="Compact"/>
            </w:pPr>
            <w:r>
              <w:rPr>
                <w:b/>
                <w:bCs/>
              </w:rPr>
              <w:t xml:space="preserve">Hard deadline</w:t>
            </w:r>
          </w:p>
        </w:tc>
      </w:tr>
      <w:tr>
        <w:tc>
          <w:tcPr/>
          <w:p>
            <w:pPr>
              <w:pStyle w:val="Compact"/>
            </w:pPr>
            <w:r>
              <w:t xml:space="preserve">FedRAMP 20x mandatory for inherited CSO authorizations</w:t>
            </w:r>
          </w:p>
        </w:tc>
        <w:tc>
          <w:tcPr/>
          <w:p>
            <w:pPr>
              <w:pStyle w:val="Compact"/>
            </w:pPr>
            <w:r>
              <w:t xml:space="preserve">Jan 1, 2027</w:t>
            </w:r>
          </w:p>
        </w:tc>
        <w:tc>
          <w:tcPr/>
          <w:p>
            <w:pPr>
              <w:pStyle w:val="Compact"/>
            </w:pPr>
            <w:r>
              <w:t xml:space="preserve">Mandatory</w:t>
            </w:r>
          </w:p>
        </w:tc>
      </w:tr>
      <w:tr>
        <w:tc>
          <w:tcPr/>
          <w:p>
            <w:pPr>
              <w:pStyle w:val="Compact"/>
            </w:pPr>
            <w:r>
              <w:t xml:space="preserve">Present authorization package to Agency AO</w:t>
            </w:r>
          </w:p>
        </w:tc>
        <w:tc>
          <w:tcPr/>
          <w:p>
            <w:pPr>
              <w:pStyle w:val="Compact"/>
            </w:pPr>
            <w:r>
              <w:t xml:space="preserve">Nov–Dec 2026</w:t>
            </w:r>
          </w:p>
        </w:tc>
        <w:tc>
          <w:tcPr/>
          <w:p>
            <w:pPr>
              <w:pStyle w:val="Compact"/>
            </w:pPr>
            <w:r>
              <w:t xml:space="preserve">Planned</w:t>
            </w:r>
          </w:p>
        </w:tc>
      </w:tr>
      <w:tr>
        <w:tc>
          <w:tcPr/>
          <w:p>
            <w:pPr>
              <w:pStyle w:val="Compact"/>
            </w:pPr>
            <w:r>
              <w:t xml:space="preserve">Agency ATO decision expected</w:t>
            </w:r>
          </w:p>
        </w:tc>
        <w:tc>
          <w:tcPr/>
          <w:p>
            <w:pPr>
              <w:pStyle w:val="Compact"/>
            </w:pPr>
            <w:r>
              <w:t xml:space="preserve">Q1 2027</w:t>
            </w:r>
          </w:p>
        </w:tc>
        <w:tc>
          <w:tcPr/>
          <w:p>
            <w:pPr>
              <w:pStyle w:val="Compact"/>
            </w:pPr>
            <w:r>
              <w:t xml:space="preserve">Target</w:t>
            </w:r>
          </w:p>
        </w:tc>
      </w:tr>
    </w:tbl>
    <w:bookmarkEnd w:id="242"/>
    <w:bookmarkStart w:id="243" w:name="X375cb839b722f48475da0b72b146f138924ddd4"/>
    <w:p>
      <w:pPr>
        <w:pStyle w:val="Heading2"/>
      </w:pPr>
      <w:r>
        <w:t xml:space="preserve">4.3 Authorizing Official Package Review Checklist</w:t>
      </w:r>
    </w:p>
    <w:p>
      <w:pPr>
        <w:pStyle w:val="FirstParagraph"/>
      </w:pPr>
      <w:r>
        <w:t xml:space="preserve">Before the authorization decision, the Authorizing Official (AO) reviews:</w:t>
      </w:r>
    </w:p>
    <w:p>
      <w:pPr>
        <w:pStyle w:val="Compact"/>
        <w:numPr>
          <w:ilvl w:val="0"/>
          <w:numId w:val="1079"/>
        </w:numPr>
      </w:pPr>
      <w:r>
        <w:t xml:space="preserve">All 29 KSI rules self-assessed as satisfied in current AR (zero open risks); independent SCA scheduled</w:t>
      </w:r>
    </w:p>
    <w:p>
      <w:pPr>
        <w:pStyle w:val="Compact"/>
        <w:numPr>
          <w:ilvl w:val="0"/>
          <w:numId w:val="1080"/>
        </w:numPr>
      </w:pPr>
      <w:r>
        <w:t xml:space="preserve">POA&amp;M is empty or all items have approved milestones</w:t>
      </w:r>
    </w:p>
    <w:p>
      <w:pPr>
        <w:pStyle w:val="Compact"/>
        <w:numPr>
          <w:ilvl w:val="0"/>
          <w:numId w:val="1081"/>
        </w:numPr>
      </w:pPr>
      <w:r>
        <w:t xml:space="preserve">BOD 26-04 VDR submission filed by December 7, 2026</w:t>
      </w:r>
    </w:p>
    <w:p>
      <w:pPr>
        <w:pStyle w:val="Compact"/>
        <w:numPr>
          <w:ilvl w:val="0"/>
          <w:numId w:val="1082"/>
        </w:numPr>
      </w:pPr>
      <w:r>
        <w:t xml:space="preserve">Training effectiveness record dated within the last 12 months</w:t>
      </w:r>
    </w:p>
    <w:p>
      <w:pPr>
        <w:pStyle w:val="Compact"/>
        <w:numPr>
          <w:ilvl w:val="0"/>
          <w:numId w:val="1083"/>
        </w:numPr>
      </w:pPr>
      <w:r>
        <w:t xml:space="preserve">SBOM generated within the last 90 days (Syft + Grype pipeline)</w:t>
      </w:r>
    </w:p>
    <w:p>
      <w:pPr>
        <w:pStyle w:val="Compact"/>
        <w:numPr>
          <w:ilvl w:val="0"/>
          <w:numId w:val="1084"/>
        </w:numPr>
      </w:pPr>
      <w:r>
        <w:t xml:space="preserve">ConMon dashboard accessible in Sentinel (AU-6, SI-4 evidence)</w:t>
      </w:r>
    </w:p>
    <w:p>
      <w:pPr>
        <w:pStyle w:val="Compact"/>
        <w:numPr>
          <w:ilvl w:val="0"/>
          <w:numId w:val="1085"/>
        </w:numPr>
      </w:pPr>
      <w:r>
        <w:t xml:space="preserve">Contingency plan tabletop conducted within the last 12 months (CP-3)</w:t>
      </w:r>
    </w:p>
    <w:p>
      <w:pPr>
        <w:pStyle w:val="Compact"/>
        <w:numPr>
          <w:ilvl w:val="0"/>
          <w:numId w:val="1086"/>
        </w:numPr>
      </w:pPr>
      <w:r>
        <w:t xml:space="preserve">IR drill conducted within the last 6 months (IR-2)</w:t>
      </w:r>
    </w:p>
    <w:p>
      <w:pPr>
        <w:pStyle w:val="Compact"/>
        <w:numPr>
          <w:ilvl w:val="0"/>
          <w:numId w:val="1087"/>
        </w:numPr>
      </w:pPr>
      <w:r>
        <w:t xml:space="preserve">PM-14 T&amp;T&amp;M plan current and signed by ISSM</w:t>
      </w:r>
    </w:p>
    <w:p>
      <w:r>
        <w:pict>
          <v:rect style="width:0;height:1.5pt" o:hralign="center" o:hrstd="t" o:hr="t"/>
        </w:pict>
      </w:r>
    </w:p>
    <w:bookmarkEnd w:id="243"/>
    <w:bookmarkEnd w:id="244"/>
    <w:bookmarkStart w:id="250" w:name="bod-26-04-vdrver-submission-sr-11-sa-15"/>
    <w:p>
      <w:pPr>
        <w:pStyle w:val="Heading1"/>
      </w:pPr>
      <w:r>
        <w:t xml:space="preserve">5 BOD 26-04 VDR/VER Submission (SR-11, SA-15)</w:t>
      </w:r>
    </w:p>
    <w:bookmarkStart w:id="245" w:name="bod-26-04-overview"/>
    <w:p>
      <w:pPr>
        <w:pStyle w:val="Heading2"/>
      </w:pPr>
      <w:r>
        <w:t xml:space="preserve">5.1 BOD 26-04 Overview</w:t>
      </w:r>
    </w:p>
    <w:p>
      <w:pPr>
        <w:pStyle w:val="FirstParagraph"/>
      </w:pPr>
      <w:r>
        <w:t xml:space="preserve">Binding Operational Directive 26-04 requires all federal agencies to:</w:t>
      </w:r>
    </w:p>
    <w:p>
      <w:pPr>
        <w:pStyle w:val="Compact"/>
        <w:numPr>
          <w:ilvl w:val="0"/>
          <w:numId w:val="1088"/>
        </w:numPr>
      </w:pPr>
      <w:r>
        <w:rPr>
          <w:b/>
          <w:bCs/>
        </w:rPr>
        <w:t xml:space="preserve">Maintain an SBOM</w:t>
      </w:r>
      <w:r>
        <w:t xml:space="preserve"> </w:t>
      </w:r>
      <w:r>
        <w:t xml:space="preserve">for all software in production by December 7, 2026</w:t>
      </w:r>
    </w:p>
    <w:p>
      <w:pPr>
        <w:pStyle w:val="Compact"/>
        <w:numPr>
          <w:ilvl w:val="0"/>
          <w:numId w:val="1088"/>
        </w:numPr>
      </w:pPr>
      <w:r>
        <w:rPr>
          <w:b/>
          <w:bCs/>
        </w:rPr>
        <w:t xml:space="preserve">File a Vulnerability Disclosure Report (VDR)</w:t>
      </w:r>
      <w:r>
        <w:t xml:space="preserve"> </w:t>
      </w:r>
      <w:r>
        <w:t xml:space="preserve">for each SBOM component with known CVEs</w:t>
      </w:r>
    </w:p>
    <w:p>
      <w:pPr>
        <w:pStyle w:val="Compact"/>
        <w:numPr>
          <w:ilvl w:val="0"/>
          <w:numId w:val="1088"/>
        </w:numPr>
      </w:pPr>
      <w:r>
        <w:rPr>
          <w:b/>
          <w:bCs/>
        </w:rPr>
        <w:t xml:space="preserve">File a Vulnerability Exploitability Report (VER)</w:t>
      </w:r>
      <w:r>
        <w:t xml:space="preserve"> </w:t>
      </w:r>
      <w:r>
        <w:t xml:space="preserve">(OpenVEX) for each CVE above CVSS 7.0</w:t>
      </w:r>
    </w:p>
    <w:p>
      <w:pPr>
        <w:pStyle w:val="Compact"/>
        <w:numPr>
          <w:ilvl w:val="0"/>
          <w:numId w:val="1088"/>
        </w:numPr>
      </w:pPr>
      <w:r>
        <w:rPr>
          <w:b/>
          <w:bCs/>
        </w:rPr>
        <w:t xml:space="preserve">Demonstrate continuous SBOM monitoring</w:t>
      </w:r>
      <w:r>
        <w:t xml:space="preserve"> </w:t>
      </w:r>
      <w:r>
        <w:t xml:space="preserve">via an automated pipeline</w:t>
      </w:r>
    </w:p>
    <w:p>
      <w:pPr>
        <w:pStyle w:val="FirstParagraph"/>
      </w:pPr>
      <w:r>
        <w:t xml:space="preserve">Vol IV Book 02 of this series established the VDR/VER framework. This section</w:t>
      </w:r>
      <w:r>
        <w:t xml:space="preserve"> </w:t>
      </w:r>
      <w:r>
        <w:t xml:space="preserve">documents the submission procedure.</w:t>
      </w:r>
    </w:p>
    <w:bookmarkEnd w:id="245"/>
    <w:bookmarkStart w:id="248" w:name="sbom-artifact-chain"/>
    <w:p>
      <w:pPr>
        <w:pStyle w:val="Heading2"/>
      </w:pPr>
      <w:r>
        <w:t xml:space="preserve">5.2 SBOM Artifact Chain</w:t>
      </w:r>
    </w:p>
    <w:p>
      <w:pPr>
        <w:pStyle w:val="FirstParagraph"/>
      </w:pPr>
      <w:r>
        <w:t xml:space="preserve">The SBOM pipeline (from Vol IV Book 02) produces a chain of machine-readable artifacts:</w:t>
      </w:r>
    </w:p>
    <w:p>
      <w:pPr>
        <w:pStyle w:val="SourceCode"/>
      </w:pPr>
      <w:r>
        <w:rPr>
          <w:rStyle w:val="VerbatimChar"/>
        </w:rPr>
        <w:t xml:space="preserve">1. Syft scan → CycloneDX 1.6 JSON (component inventory)</w:t>
      </w:r>
      <w:r>
        <w:br/>
      </w:r>
      <w:r>
        <w:rPr>
          <w:rStyle w:val="VerbatimChar"/>
        </w:rPr>
        <w:t xml:space="preserve"> ↓</w:t>
      </w:r>
      <w:r>
        <w:br/>
      </w:r>
      <w:r>
        <w:rPr>
          <w:rStyle w:val="VerbatimChar"/>
        </w:rPr>
        <w:t xml:space="preserve">2. Grype scan → Vulnerability findings against NVD + CISA KEV</w:t>
      </w:r>
      <w:r>
        <w:br/>
      </w:r>
      <w:r>
        <w:rPr>
          <w:rStyle w:val="VerbatimChar"/>
        </w:rPr>
        <w:t xml:space="preserve"> ↓</w:t>
      </w:r>
      <w:r>
        <w:br/>
      </w:r>
      <w:r>
        <w:rPr>
          <w:rStyle w:val="VerbatimChar"/>
        </w:rPr>
        <w:t xml:space="preserve">3. OpenVEX statements → VEX analysis (exploitability assessment)</w:t>
      </w:r>
      <w:r>
        <w:br/>
      </w:r>
      <w:r>
        <w:rPr>
          <w:rStyle w:val="VerbatimChar"/>
        </w:rPr>
        <w:t xml:space="preserve"> ↓</w:t>
      </w:r>
      <w:r>
        <w:br/>
      </w:r>
      <w:r>
        <w:rPr>
          <w:rStyle w:val="VerbatimChar"/>
        </w:rPr>
        <w:t xml:space="preserve">4. VDR submission package → CISA VEX Portal or email submission</w:t>
      </w:r>
    </w:p>
    <w:bookmarkStart w:id="246" w:name="running-the-sbom-pipeline"/>
    <w:p>
      <w:pPr>
        <w:pStyle w:val="Heading3"/>
      </w:pPr>
      <w:r>
        <w:t xml:space="preserve">5.2.1 Running the SBOM Pipeline</w:t>
      </w:r>
    </w:p>
    <w:p>
      <w:pPr>
        <w:pStyle w:val="SourceCode"/>
      </w:pPr>
      <w:r>
        <w:rPr>
          <w:rStyle w:val="CommentTok"/>
        </w:rPr>
        <w:t xml:space="preserve"># Step 1: Generate SBOM (run against each production container/package)</w:t>
      </w:r>
      <w:r>
        <w:br/>
      </w:r>
      <w:r>
        <w:rPr>
          <w:rStyle w:val="ExtensionTok"/>
        </w:rPr>
        <w:t xml:space="preserve">syft</w:t>
      </w:r>
      <w:r>
        <w:rPr>
          <w:rStyle w:val="NormalTok"/>
        </w:rPr>
        <w:t xml:space="preserve"> packages . </w:t>
      </w:r>
      <w:r>
        <w:rPr>
          <w:rStyle w:val="AttributeTok"/>
        </w:rPr>
        <w:t xml:space="preserve">-o</w:t>
      </w:r>
      <w:r>
        <w:rPr>
          <w:rStyle w:val="NormalTok"/>
        </w:rPr>
        <w:t xml:space="preserve"> cyclonedx-json=sbom-</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w:t>
      </w:r>
      <w:r>
        <w:br/>
      </w:r>
      <w:r>
        <w:br/>
      </w:r>
      <w:r>
        <w:rPr>
          <w:rStyle w:val="CommentTok"/>
        </w:rPr>
        <w:t xml:space="preserve"># Step 2: Scan for vulnerabilities</w:t>
      </w:r>
      <w:r>
        <w:br/>
      </w:r>
      <w:r>
        <w:rPr>
          <w:rStyle w:val="ExtensionTok"/>
        </w:rPr>
        <w:t xml:space="preserve">grype</w:t>
      </w:r>
      <w:r>
        <w:rPr>
          <w:rStyle w:val="NormalTok"/>
        </w:rPr>
        <w:t xml:space="preserve"> sbom:sbom-</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 </w:t>
      </w:r>
      <w:r>
        <w:rPr>
          <w:rStyle w:val="AttributeTok"/>
        </w:rPr>
        <w:t xml:space="preserve">-o</w:t>
      </w:r>
      <w:r>
        <w:rPr>
          <w:rStyle w:val="NormalTok"/>
        </w:rPr>
        <w:t xml:space="preserve"> json </w:t>
      </w:r>
      <w:r>
        <w:rPr>
          <w:rStyle w:val="OperatorTok"/>
        </w:rPr>
        <w:t xml:space="preserve">&gt;</w:t>
      </w:r>
      <w:r>
        <w:rPr>
          <w:rStyle w:val="NormalTok"/>
        </w:rPr>
        <w:t xml:space="preserve"> vuln-</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w:t>
      </w:r>
      <w:r>
        <w:br/>
      </w:r>
      <w:r>
        <w:br/>
      </w:r>
      <w:r>
        <w:rPr>
          <w:rStyle w:val="CommentTok"/>
        </w:rPr>
        <w:t xml:space="preserve"># Step 3: Generate VEX statements for High/Critical CVEs</w:t>
      </w:r>
      <w:r>
        <w:br/>
      </w:r>
      <w:r>
        <w:rPr>
          <w:rStyle w:val="CommentTok"/>
        </w:rPr>
        <w:t xml:space="preserve"># For each CVE with CVSS &gt;= 7.0, create an OpenVEX statement:</w:t>
      </w:r>
      <w:r>
        <w:br/>
      </w:r>
      <w:r>
        <w:rPr>
          <w:rStyle w:val="ExtensionTok"/>
        </w:rPr>
        <w:t xml:space="preserve">vexctl</w:t>
      </w:r>
      <w:r>
        <w:rPr>
          <w:rStyle w:val="NormalTok"/>
        </w:rPr>
        <w:t xml:space="preserve"> create </w:t>
      </w:r>
      <w:r>
        <w:rPr>
          <w:rStyle w:val="DataTypeTok"/>
        </w:rPr>
        <w:t xml:space="preserve">\</w:t>
      </w:r>
      <w:r>
        <w:br/>
      </w:r>
      <w:r>
        <w:rPr>
          <w:rStyle w:val="NormalTok"/>
        </w:rPr>
        <w:t xml:space="preserve"> </w:t>
      </w:r>
      <w:r>
        <w:rPr>
          <w:rStyle w:val="AttributeTok"/>
        </w:rPr>
        <w:t xml:space="preserve">--author</w:t>
      </w:r>
      <w:r>
        <w:rPr>
          <w:rStyle w:val="NormalTok"/>
        </w:rPr>
        <w:t xml:space="preserve"> </w:t>
      </w:r>
      <w:r>
        <w:rPr>
          <w:rStyle w:val="StringTok"/>
        </w:rPr>
        <w:t xml:space="preserve">"Agency Cloud Services Team"</w:t>
      </w:r>
      <w:r>
        <w:rPr>
          <w:rStyle w:val="NormalTok"/>
        </w:rPr>
        <w:t xml:space="preserve"> </w:t>
      </w:r>
      <w:r>
        <w:rPr>
          <w:rStyle w:val="DataTypeTok"/>
        </w:rPr>
        <w:t xml:space="preserve">\</w:t>
      </w:r>
      <w:r>
        <w:br/>
      </w:r>
      <w:r>
        <w:rPr>
          <w:rStyle w:val="NormalTok"/>
        </w:rPr>
        <w:t xml:space="preserve"> </w:t>
      </w:r>
      <w:r>
        <w:rPr>
          <w:rStyle w:val="AttributeTok"/>
        </w:rPr>
        <w:t xml:space="preserve">--product</w:t>
      </w:r>
      <w:r>
        <w:rPr>
          <w:rStyle w:val="NormalTok"/>
        </w:rPr>
        <w:t xml:space="preserve"> </w:t>
      </w:r>
      <w:r>
        <w:rPr>
          <w:rStyle w:val="StringTok"/>
        </w:rPr>
        <w:t xml:space="preserve">"pkg:docker/ssa-gcc-moderate@1.0.0"</w:t>
      </w:r>
      <w:r>
        <w:rPr>
          <w:rStyle w:val="NormalTok"/>
        </w:rPr>
        <w:t xml:space="preserve"> </w:t>
      </w:r>
      <w:r>
        <w:rPr>
          <w:rStyle w:val="DataTypeTok"/>
        </w:rPr>
        <w:t xml:space="preserve">\</w:t>
      </w:r>
      <w:r>
        <w:br/>
      </w:r>
      <w:r>
        <w:rPr>
          <w:rStyle w:val="NormalTok"/>
        </w:rPr>
        <w:t xml:space="preserve"> </w:t>
      </w:r>
      <w:r>
        <w:rPr>
          <w:rStyle w:val="AttributeTok"/>
        </w:rPr>
        <w:t xml:space="preserve">--vuln</w:t>
      </w:r>
      <w:r>
        <w:rPr>
          <w:rStyle w:val="NormalTok"/>
        </w:rPr>
        <w:t xml:space="preserve"> </w:t>
      </w:r>
      <w:r>
        <w:rPr>
          <w:rStyle w:val="StringTok"/>
        </w:rPr>
        <w:t xml:space="preserve">"CVE-YYYY-NNNNN"</w:t>
      </w:r>
      <w:r>
        <w:rPr>
          <w:rStyle w:val="NormalTok"/>
        </w:rPr>
        <w:t xml:space="preserve"> </w:t>
      </w:r>
      <w:r>
        <w:rPr>
          <w:rStyle w:val="DataTypeTok"/>
        </w:rPr>
        <w:t xml:space="preserve">\</w:t>
      </w:r>
      <w:r>
        <w:br/>
      </w:r>
      <w:r>
        <w:rPr>
          <w:rStyle w:val="NormalTok"/>
        </w:rPr>
        <w:t xml:space="preserve"> </w:t>
      </w:r>
      <w:r>
        <w:rPr>
          <w:rStyle w:val="AttributeTok"/>
        </w:rPr>
        <w:t xml:space="preserve">--status</w:t>
      </w:r>
      <w:r>
        <w:rPr>
          <w:rStyle w:val="NormalTok"/>
        </w:rPr>
        <w:t xml:space="preserve"> </w:t>
      </w:r>
      <w:r>
        <w:rPr>
          <w:rStyle w:val="StringTok"/>
        </w:rPr>
        <w:t xml:space="preserve">"affected"</w:t>
      </w:r>
      <w:r>
        <w:rPr>
          <w:rStyle w:val="NormalTok"/>
        </w:rPr>
        <w:t xml:space="preserve"> </w:t>
      </w:r>
      <w:r>
        <w:rPr>
          <w:rStyle w:val="DataTypeTok"/>
        </w:rPr>
        <w:t xml:space="preserve">\</w:t>
      </w:r>
      <w:r>
        <w:br/>
      </w:r>
      <w:r>
        <w:rPr>
          <w:rStyle w:val="NormalTok"/>
        </w:rPr>
        <w:t xml:space="preserve"> </w:t>
      </w:r>
      <w:r>
        <w:rPr>
          <w:rStyle w:val="AttributeTok"/>
        </w:rPr>
        <w:t xml:space="preserve">--action-statement</w:t>
      </w:r>
      <w:r>
        <w:rPr>
          <w:rStyle w:val="NormalTok"/>
        </w:rPr>
        <w:t xml:space="preserve"> </w:t>
      </w:r>
      <w:r>
        <w:rPr>
          <w:rStyle w:val="StringTok"/>
        </w:rPr>
        <w:t xml:space="preserve">"Remediation in progress; tracked in POA&amp;M"</w:t>
      </w:r>
      <w:r>
        <w:rPr>
          <w:rStyle w:val="NormalTok"/>
        </w:rPr>
        <w:t xml:space="preserve"> </w:t>
      </w:r>
      <w:r>
        <w:rPr>
          <w:rStyle w:val="DataTypeTok"/>
        </w:rPr>
        <w:t xml:space="preserve">\</w:t>
      </w:r>
      <w:r>
        <w:br/>
      </w:r>
      <w:r>
        <w:rPr>
          <w:rStyle w:val="NormalTok"/>
        </w:rPr>
        <w:t xml:space="preserve"> sbom-</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.json</w:t>
      </w:r>
    </w:p>
    <w:bookmarkEnd w:id="246"/>
    <w:bookmarkStart w:id="247" w:name="submission-to-cisa"/>
    <w:p>
      <w:pPr>
        <w:pStyle w:val="Heading3"/>
      </w:pPr>
      <w:r>
        <w:t xml:space="preserve">5.2.2 Submission to CISA</w:t>
      </w:r>
    </w:p>
    <w:p>
      <w:pPr>
        <w:pStyle w:val="FirstParagraph"/>
      </w:pPr>
      <w:r>
        <w:t xml:space="preserve">Per BOD 26-04, VDR/VER submissions go to:</w:t>
      </w:r>
      <w:r>
        <w:t xml:space="preserve"> </w:t>
      </w:r>
      <w:r>
        <w:t xml:space="preserve">-</w:t>
      </w:r>
      <w:r>
        <w:t xml:space="preserve"> </w:t>
      </w:r>
      <w:r>
        <w:rPr>
          <w:b/>
          <w:bCs/>
        </w:rPr>
        <w:t xml:space="preserve">Email</w:t>
      </w:r>
      <w:r>
        <w:t xml:space="preserve">: sbom@cisa.dhs.gov (VDR + VEX package as ZIP attachment)</w:t>
      </w:r>
      <w:r>
        <w:t xml:space="preserve"> </w:t>
      </w:r>
      <w:r>
        <w:t xml:space="preserve">-</w:t>
      </w:r>
      <w:r>
        <w:t xml:space="preserve"> </w:t>
      </w:r>
      <w:r>
        <w:rPr>
          <w:b/>
          <w:bCs/>
        </w:rPr>
        <w:t xml:space="preserve">Subject line</w:t>
      </w:r>
      <w:r>
        <w:t xml:space="preserve">:</w:t>
      </w:r>
      <w:r>
        <w:t xml:space="preserve"> </w:t>
      </w:r>
      <w:r>
        <w:rPr>
          <w:rStyle w:val="VerbatimChar"/>
        </w:rPr>
        <w:t xml:space="preserve">[AGENCY] BOD-26-04 VDR Submission — [System Name] — [Date]</w:t>
      </w:r>
      <w:r>
        <w:t xml:space="preserve"> </w:t>
      </w:r>
      <w:r>
        <w:t xml:space="preserve">-</w:t>
      </w:r>
      <w:r>
        <w:t xml:space="preserve"> </w:t>
      </w:r>
      <w:r>
        <w:rPr>
          <w:b/>
          <w:bCs/>
        </w:rPr>
        <w:t xml:space="preserve">Format</w:t>
      </w:r>
      <w:r>
        <w:t xml:space="preserve">: CycloneDX 1.6 JSON for SBOM; OpenVEX JSON for VEX statements</w:t>
      </w:r>
    </w:p>
    <w:p>
      <w:pPr>
        <w:pStyle w:val="BodyText"/>
      </w:pPr>
      <w:r>
        <w:t xml:space="preserve">The Vol IV Book 02</w:t>
      </w:r>
      <w:r>
        <w:t xml:space="preserve"> </w:t>
      </w:r>
      <w:r>
        <w:rPr>
          <w:rStyle w:val="VerbatimChar"/>
        </w:rPr>
        <w:t xml:space="preserve">vdr-submission-record.json</w:t>
      </w:r>
      <w:r>
        <w:t xml:space="preserve"> </w:t>
      </w:r>
      <w:r>
        <w:t xml:space="preserve">schema generates the cover document</w:t>
      </w:r>
      <w:r>
        <w:t xml:space="preserve"> </w:t>
      </w:r>
      <w:r>
        <w:t xml:space="preserve">automatically from the Syft/Grype pipeline output.</w:t>
      </w:r>
    </w:p>
    <w:bookmarkEnd w:id="247"/>
    <w:bookmarkEnd w:id="248"/>
    <w:bookmarkStart w:id="249" w:name="at-4-evidence-contract-currency"/>
    <w:p>
      <w:pPr>
        <w:pStyle w:val="Heading2"/>
      </w:pPr>
      <w:r>
        <w:t xml:space="preserve">5.3 AT-4 Evidence Contract Currency</w:t>
      </w:r>
    </w:p>
    <w:p>
      <w:pPr>
        <w:pStyle w:val="FirstParagraph"/>
      </w:pPr>
      <w:r>
        <w:t xml:space="preserve">The</w:t>
      </w:r>
      <w:r>
        <w:t xml:space="preserve"> </w:t>
      </w:r>
      <w:r>
        <w:rPr>
          <w:rStyle w:val="VerbatimChar"/>
        </w:rPr>
        <w:t xml:space="preserve">governance.training-effectiveness-record</w:t>
      </w:r>
      <w:r>
        <w:t xml:space="preserve"> </w:t>
      </w:r>
      <w:r>
        <w:t xml:space="preserve">(KSI-022 evidence) must be</w:t>
      </w:r>
      <w:r>
        <w:t xml:space="preserve"> </w:t>
      </w:r>
      <w:r>
        <w:t xml:space="preserve">current at the time of the AO’s ATO package review:</w:t>
      </w:r>
    </w:p>
    <w:p>
      <w:pPr>
        <w:pStyle w:val="SourceCode"/>
      </w:pPr>
      <w:r>
        <w:rPr>
          <w:rStyle w:val="CommentTok"/>
        </w:rPr>
        <w:t xml:space="preserve"># Verify training record is current (exported via the current LMS adapter —</w:t>
      </w:r>
      <w:r>
        <w:br/>
      </w:r>
      <w:r>
        <w:rPr>
          <w:rStyle w:val="CommentTok"/>
        </w:rPr>
        <w:t xml:space="preserve"># Viva Learning Graph API; the evidence contract is the LMS-agnostic JSON schema)</w:t>
      </w:r>
      <w:r>
        <w:br/>
      </w:r>
      <w:r>
        <w:rPr>
          <w:rStyle w:val="CommentTok"/>
        </w:rPr>
        <w:t xml:space="preserve"># Record must show: overall_completion_pct &gt;= 95.0, snapshot_date within 12 months</w:t>
      </w:r>
      <w:r>
        <w:br/>
      </w:r>
      <w:r>
        <w:rPr>
          <w:rStyle w:val="ExtensionTok"/>
        </w:rPr>
        <w:t xml:space="preserve">python3</w:t>
      </w:r>
      <w:r>
        <w:rPr>
          <w:rStyle w:val="NormalTok"/>
        </w:rPr>
        <w:t xml:space="preserve"> </w:t>
      </w:r>
      <w:r>
        <w:rPr>
          <w:rStyle w:val="AttributeTok"/>
        </w:rPr>
        <w:t xml:space="preserve">-c</w:t>
      </w:r>
      <w:r>
        <w:rPr>
          <w:rStyle w:val="NormalTok"/>
        </w:rPr>
        <w:t xml:space="preserve"> </w:t>
      </w:r>
      <w:r>
        <w:rPr>
          <w:rStyle w:val="StringTok"/>
        </w:rPr>
        <w:t xml:space="preserve">"</w:t>
      </w:r>
      <w:r>
        <w:br/>
      </w:r>
      <w:r>
        <w:rPr>
          <w:rStyle w:val="StringTok"/>
        </w:rPr>
        <w:t xml:space="preserve">import json</w:t>
      </w:r>
      <w:r>
        <w:br/>
      </w:r>
      <w:r>
        <w:rPr>
          <w:rStyle w:val="StringTok"/>
        </w:rPr>
        <w:t xml:space="preserve">record = json.load(open('governance.training-effectiveness-record.json'))</w:t>
      </w:r>
      <w:r>
        <w:br/>
      </w:r>
      <w:r>
        <w:rPr>
          <w:rStyle w:val="StringTok"/>
        </w:rPr>
        <w:t xml:space="preserve">assert record['overall_completion_pct'] &gt;= 95.0, 'Training completion below threshold'</w:t>
      </w:r>
      <w:r>
        <w:br/>
      </w:r>
      <w:r>
        <w:rPr>
          <w:rStyle w:val="StringTok"/>
        </w:rPr>
        <w:t xml:space="preserve">assert all(</w:t>
      </w:r>
      <w:r>
        <w:br/>
      </w:r>
      <w:r>
        <w:rPr>
          <w:rStyle w:val="StringTok"/>
        </w:rPr>
        <w:t xml:space="preserve"> t['tier_completion_pct'] &gt;= 95.0 for t in record['role_tiers']</w:t>
      </w:r>
      <w:r>
        <w:br/>
      </w:r>
      <w:r>
        <w:rPr>
          <w:rStyle w:val="StringTok"/>
        </w:rPr>
        <w:t xml:space="preserve">), 'One or more role tiers below threshold'</w:t>
      </w:r>
      <w:r>
        <w:br/>
      </w:r>
      <w:r>
        <w:rPr>
          <w:rStyle w:val="StringTok"/>
        </w:rPr>
        <w:t xml:space="preserve">print('Training record: PASS')</w:t>
      </w:r>
      <w:r>
        <w:br/>
      </w:r>
      <w:r>
        <w:rPr>
          <w:rStyle w:val="StringTok"/>
        </w:rPr>
        <w:t xml:space="preserve">"</w:t>
      </w:r>
    </w:p>
    <w:p>
      <w:r>
        <w:pict>
          <v:rect style="width:0;height:1.5pt" o:hralign="center" o:hrstd="t" o:hr="t"/>
        </w:pict>
      </w:r>
    </w:p>
    <w:bookmarkEnd w:id="249"/>
    <w:bookmarkEnd w:id="250"/>
    <w:bookmarkStart w:id="255" w:name="X2baad120c625cca5affb3af3072f4904f2c9188"/>
    <w:p>
      <w:pPr>
        <w:pStyle w:val="Heading1"/>
      </w:pPr>
      <w:r>
        <w:t xml:space="preserve">6 Post-Authorization ConMon Architecture (CA-7, SA-15)</w:t>
      </w:r>
    </w:p>
    <w:bookmarkStart w:id="251" w:name="conmon-data-flow"/>
    <w:p>
      <w:pPr>
        <w:pStyle w:val="Heading2"/>
      </w:pPr>
      <w:r>
        <w:t xml:space="preserve">6.1 ConMon Data Flow</w:t>
      </w:r>
    </w:p>
    <w:p>
      <w:pPr>
        <w:pStyle w:val="FirstParagraph"/>
      </w:pPr>
      <w:r>
        <w:t xml:space="preserve">After ATO is granted, the ConMon program feeds back into the governance</w:t>
      </w:r>
      <w:r>
        <w:t xml:space="preserve"> </w:t>
      </w:r>
      <w:r>
        <w:t xml:space="preserve">substrate on a recurring basis:</w:t>
      </w:r>
    </w:p>
    <w:p>
      <w:pPr>
        <w:pStyle w:val="SourceCode"/>
      </w:pPr>
      <w:r>
        <w:rPr>
          <w:rStyle w:val="VerbatimChar"/>
        </w:rPr>
        <w:t xml:space="preserve">[M365 ScuBA Assessment]</w:t>
      </w:r>
      <w:r>
        <w:br/>
      </w:r>
      <w:r>
        <w:rPr>
          <w:rStyle w:val="VerbatimChar"/>
        </w:rPr>
        <w:t xml:space="preserve"> ↓ monthly</w:t>
      </w:r>
      <w:r>
        <w:br/>
      </w:r>
      <w:r>
        <w:rPr>
          <w:rStyle w:val="VerbatimChar"/>
        </w:rPr>
        <w:t xml:space="preserve">[&lt;engine&gt; adapter-run-scuba]</w:t>
      </w:r>
      <w:r>
        <w:br/>
      </w:r>
      <w:r>
        <w:rPr>
          <w:rStyle w:val="VerbatimChar"/>
        </w:rPr>
        <w:t xml:space="preserve"> ↓</w:t>
      </w:r>
      <w:r>
        <w:br/>
      </w:r>
      <w:r>
        <w:rPr>
          <w:rStyle w:val="VerbatimChar"/>
        </w:rPr>
        <w:t xml:space="preserve">[Governance Substrate] ←—— [Compliance Slot Evidence YAMLs]</w:t>
      </w:r>
      <w:r>
        <w:br/>
      </w:r>
      <w:r>
        <w:rPr>
          <w:rStyle w:val="VerbatimChar"/>
        </w:rPr>
        <w:t xml:space="preserve"> ↓ ↑</w:t>
      </w:r>
      <w:r>
        <w:br/>
      </w:r>
      <w:r>
        <w:rPr>
          <w:rStyle w:val="VerbatimChar"/>
        </w:rPr>
        <w:t xml:space="preserve">[&lt;engine&gt; oscal bundle] [Slot confidence upgrades</w:t>
      </w:r>
      <w:r>
        <w:br/>
      </w:r>
      <w:r>
        <w:rPr>
          <w:rStyle w:val="VerbatimChar"/>
        </w:rPr>
        <w:t xml:space="preserve"> ↓ when new evidence artifacts</w:t>
      </w:r>
      <w:r>
        <w:br/>
      </w:r>
      <w:r>
        <w:rPr>
          <w:rStyle w:val="VerbatimChar"/>
        </w:rPr>
        <w:t xml:space="preserve">[ksi-ar.json] are produced or confidence</w:t>
      </w:r>
      <w:r>
        <w:br/>
      </w:r>
      <w:r>
        <w:rPr>
          <w:rStyle w:val="VerbatimChar"/>
        </w:rPr>
        <w:t xml:space="preserve"> ↓ changes]</w:t>
      </w:r>
      <w:r>
        <w:br/>
      </w:r>
      <w:r>
        <w:rPr>
          <w:rStyle w:val="VerbatimChar"/>
        </w:rPr>
        <w:t xml:space="preserve">[POA&amp;M auto-populated]</w:t>
      </w:r>
      <w:r>
        <w:br/>
      </w:r>
      <w:r>
        <w:rPr>
          <w:rStyle w:val="VerbatimChar"/>
        </w:rPr>
        <w:t xml:space="preserve"> ↓</w:t>
      </w:r>
      <w:r>
        <w:br/>
      </w:r>
      <w:r>
        <w:rPr>
          <w:rStyle w:val="VerbatimChar"/>
        </w:rPr>
        <w:t xml:space="preserve">[Sentinel ConMon Dashboard] ——→ [AO Monthly Brief]</w:t>
      </w:r>
    </w:p>
    <w:bookmarkEnd w:id="251"/>
    <w:bookmarkStart w:id="252" w:name="evidence-freshness-rules"/>
    <w:p>
      <w:pPr>
        <w:pStyle w:val="Heading2"/>
      </w:pPr>
      <w:r>
        <w:t xml:space="preserve">6.2 Evidence Freshness Rules</w:t>
      </w:r>
    </w:p>
    <w:p>
      <w:pPr>
        <w:pStyle w:val="FirstParagraph"/>
      </w:pPr>
      <w:r>
        <w:t xml:space="preserve">Each evidence slot has a freshness requirement. The ConMon program must ensure:</w:t>
      </w:r>
    </w:p>
    <w:p>
      <w:pPr>
        <w:pStyle w:val="TableCaption"/>
      </w:pPr>
      <w:r>
        <w:t xml:space="preserve">Evidence Freshness Requirements by Slot</w:t>
      </w:r>
    </w:p>
    <w:tbl>
      <w:tblPr>
        <w:tblStyle w:val="Table"/>
        <w:tblW w:type="pct" w:w="5000"/>
        <w:tblLayout w:type="fixed"/>
        <w:tblLook w:firstRow="1" w:lastRow="0" w:firstColumn="0" w:lastColumn="0" w:noHBand="0" w:noVBand="0" w:val="0020"/>
        <w:tblCaption w:val="Evidence Freshness Requirements by Slot"/>
      </w:tblPr>
      <w:tblGrid>
        <w:gridCol w:w="1320"/>
        <w:gridCol w:w="5060"/>
        <w:gridCol w:w="1540"/>
      </w:tblGrid>
      <w:tr>
        <w:trPr>
          <w:tblHeader w:val="on"/>
        </w:trPr>
        <w:tc>
          <w:tcPr/>
          <w:p>
            <w:pPr>
              <w:pStyle w:val="Compact"/>
            </w:pPr>
            <w:r>
              <w:t xml:space="preserve">Slot</w:t>
            </w:r>
          </w:p>
        </w:tc>
        <w:tc>
          <w:tcPr/>
          <w:p>
            <w:pPr>
              <w:pStyle w:val="Compact"/>
            </w:pPr>
            <w:r>
              <w:t xml:space="preserve">Freshness Requirement</w:t>
            </w:r>
          </w:p>
        </w:tc>
        <w:tc>
          <w:tcPr/>
          <w:p>
            <w:pPr>
              <w:pStyle w:val="Compact"/>
            </w:pPr>
            <w:r>
              <w:t xml:space="preserve">Owner</w:t>
            </w:r>
          </w:p>
        </w:tc>
      </w:tr>
      <w:tr>
        <w:tc>
          <w:tcPr/>
          <w:p>
            <w:pPr>
              <w:pStyle w:val="Compact"/>
            </w:pPr>
            <w:r>
              <w:t xml:space="preserve">slot-01 identity</w:t>
            </w:r>
          </w:p>
        </w:tc>
        <w:tc>
          <w:tcPr/>
          <w:p>
            <w:pPr>
              <w:pStyle w:val="Compact"/>
            </w:pPr>
            <w:r>
              <w:t xml:space="preserve">Entra ID Conditional Access policies reviewed quarterly</w:t>
            </w:r>
          </w:p>
        </w:tc>
        <w:tc>
          <w:tcPr/>
          <w:p>
            <w:pPr>
              <w:pStyle w:val="Compact"/>
            </w:pPr>
            <w:r>
              <w:t xml:space="preserve">IAM team</w:t>
            </w:r>
          </w:p>
        </w:tc>
      </w:tr>
      <w:tr>
        <w:tc>
          <w:tcPr/>
          <w:p>
            <w:pPr>
              <w:pStyle w:val="Compact"/>
            </w:pPr>
            <w:r>
              <w:t xml:space="preserve">slot-02 data</w:t>
            </w:r>
          </w:p>
        </w:tc>
        <w:tc>
          <w:tcPr/>
          <w:p>
            <w:pPr>
              <w:pStyle w:val="Compact"/>
            </w:pPr>
            <w:r>
              <w:t xml:space="preserve">Purview DLP policy and CMK rotation reviewed annually</w:t>
            </w:r>
          </w:p>
        </w:tc>
        <w:tc>
          <w:tcPr/>
          <w:p>
            <w:pPr>
              <w:pStyle w:val="Compact"/>
            </w:pPr>
            <w:r>
              <w:t xml:space="preserve">Data Protection team</w:t>
            </w:r>
          </w:p>
        </w:tc>
      </w:tr>
      <w:tr>
        <w:tc>
          <w:tcPr/>
          <w:p>
            <w:pPr>
              <w:pStyle w:val="Compact"/>
            </w:pPr>
            <w:r>
              <w:t xml:space="preserve">slot-03 network</w:t>
            </w:r>
          </w:p>
        </w:tc>
        <w:tc>
          <w:tcPr/>
          <w:p>
            <w:pPr>
              <w:pStyle w:val="Compact"/>
            </w:pPr>
            <w:r>
              <w:t xml:space="preserve">SD-WAN configuration baseline reviewed semi-annually</w:t>
            </w:r>
          </w:p>
        </w:tc>
        <w:tc>
          <w:tcPr/>
          <w:p>
            <w:pPr>
              <w:pStyle w:val="Compact"/>
            </w:pPr>
            <w:r>
              <w:t xml:space="preserve">Network team</w:t>
            </w:r>
          </w:p>
        </w:tc>
      </w:tr>
      <w:tr>
        <w:tc>
          <w:tcPr/>
          <w:p>
            <w:pPr>
              <w:pStyle w:val="Compact"/>
            </w:pPr>
            <w:r>
              <w:t xml:space="preserve">slot-04 telemetry</w:t>
            </w:r>
          </w:p>
        </w:tc>
        <w:tc>
          <w:tcPr/>
          <w:p>
            <w:pPr>
              <w:pStyle w:val="Compact"/>
            </w:pPr>
            <w:r>
              <w:t xml:space="preserve">Sentinel detection rules reviewed quarterly; log retention confirmed monthly</w:t>
            </w:r>
          </w:p>
        </w:tc>
        <w:tc>
          <w:tcPr/>
          <w:p>
            <w:pPr>
              <w:pStyle w:val="Compact"/>
            </w:pPr>
            <w:r>
              <w:t xml:space="preserve">SOC</w:t>
            </w:r>
          </w:p>
        </w:tc>
      </w:tr>
      <w:tr>
        <w:tc>
          <w:tcPr/>
          <w:p>
            <w:pPr>
              <w:pStyle w:val="Compact"/>
            </w:pPr>
            <w:r>
              <w:t xml:space="preserve">slot-05 endpoint</w:t>
            </w:r>
          </w:p>
        </w:tc>
        <w:tc>
          <w:tcPr/>
          <w:p>
            <w:pPr>
              <w:pStyle w:val="Compact"/>
            </w:pPr>
            <w:r>
              <w:t xml:space="preserve">Defender VM findings reviewed weekly; PAW review quarterly</w:t>
            </w:r>
          </w:p>
        </w:tc>
        <w:tc>
          <w:tcPr/>
          <w:p>
            <w:pPr>
              <w:pStyle w:val="Compact"/>
            </w:pPr>
            <w:r>
              <w:t xml:space="preserve">Endpoint team</w:t>
            </w:r>
          </w:p>
        </w:tc>
      </w:tr>
      <w:tr>
        <w:tc>
          <w:tcPr/>
          <w:p>
            <w:pPr>
              <w:pStyle w:val="Compact"/>
            </w:pPr>
            <w:r>
              <w:t xml:space="preserve">slot-06 security</w:t>
            </w:r>
          </w:p>
        </w:tc>
        <w:tc>
          <w:tcPr/>
          <w:p>
            <w:pPr>
              <w:pStyle w:val="Compact"/>
            </w:pPr>
            <w:r>
              <w:t xml:space="preserve">SBOM regenerated monthly; VDR/VER current (BOD 26-04)</w:t>
            </w:r>
          </w:p>
        </w:tc>
        <w:tc>
          <w:tcPr/>
          <w:p>
            <w:pPr>
              <w:pStyle w:val="Compact"/>
            </w:pPr>
            <w:r>
              <w:t xml:space="preserve">SR team</w:t>
            </w:r>
          </w:p>
        </w:tc>
      </w:tr>
      <w:tr>
        <w:tc>
          <w:tcPr/>
          <w:p>
            <w:pPr>
              <w:pStyle w:val="Compact"/>
            </w:pPr>
            <w:r>
              <w:t xml:space="preserve">slot-07 continuity</w:t>
            </w:r>
          </w:p>
        </w:tc>
        <w:tc>
          <w:tcPr/>
          <w:p>
            <w:pPr>
              <w:pStyle w:val="Compact"/>
            </w:pPr>
            <w:r>
              <w:t xml:space="preserve">CP-3 tabletop annually; CP-4 test annually; CP-2 plan current</w:t>
            </w:r>
          </w:p>
        </w:tc>
        <w:tc>
          <w:tcPr/>
          <w:p>
            <w:pPr>
              <w:pStyle w:val="Compact"/>
            </w:pPr>
            <w:r>
              <w:t xml:space="preserve">BC team</w:t>
            </w:r>
          </w:p>
        </w:tc>
      </w:tr>
      <w:tr>
        <w:tc>
          <w:tcPr/>
          <w:p>
            <w:pPr>
              <w:pStyle w:val="Compact"/>
            </w:pPr>
            <w:r>
              <w:t xml:space="preserve">slot-08 training</w:t>
            </w:r>
          </w:p>
        </w:tc>
        <w:tc>
          <w:tcPr/>
          <w:p>
            <w:pPr>
              <w:pStyle w:val="Compact"/>
            </w:pPr>
            <w:r>
              <w:t xml:space="preserve">LMS completion records exported monthly; overall ≥ 95%</w:t>
            </w:r>
          </w:p>
        </w:tc>
        <w:tc>
          <w:tcPr/>
          <w:p>
            <w:pPr>
              <w:pStyle w:val="Compact"/>
            </w:pPr>
            <w:r>
              <w:t xml:space="preserve">HR / Training</w:t>
            </w:r>
          </w:p>
        </w:tc>
      </w:tr>
    </w:tbl>
    <w:bookmarkEnd w:id="252"/>
    <w:bookmarkStart w:id="253" w:name="sentinel-conmon-dashboard"/>
    <w:p>
      <w:pPr>
        <w:pStyle w:val="Heading2"/>
      </w:pPr>
      <w:r>
        <w:t xml:space="preserve">6.3 Sentinel ConMon Dashboard</w:t>
      </w:r>
    </w:p>
    <w:p>
      <w:pPr>
        <w:pStyle w:val="FirstParagraph"/>
      </w:pPr>
      <w:r>
        <w:t xml:space="preserve">Vol III Book 06 established the Sentinel XDR platform as the operational ConMon</w:t>
      </w:r>
      <w:r>
        <w:t xml:space="preserve"> </w:t>
      </w:r>
      <w:r>
        <w:t xml:space="preserve">dashboard. The following workbooks are required for CA-7(3) trend analysis:</w:t>
      </w:r>
    </w:p>
    <w:p>
      <w:pPr>
        <w:pStyle w:val="Compact"/>
        <w:numPr>
          <w:ilvl w:val="0"/>
          <w:numId w:val="1089"/>
        </w:numPr>
      </w:pPr>
      <w:r>
        <w:rPr>
          <w:b/>
          <w:bCs/>
        </w:rPr>
        <w:t xml:space="preserve">KSI Status Workbook</w:t>
      </w:r>
      <w:r>
        <w:t xml:space="preserve"> </w:t>
      </w:r>
      <w:r>
        <w:t xml:space="preserve">— maps each of the 29 KSIs to their current evidence</w:t>
      </w:r>
      <w:r>
        <w:t xml:space="preserve"> </w:t>
      </w:r>
      <w:r>
        <w:t xml:space="preserve">state (green/amber/red based on slot binding confidence and AR verdict)</w:t>
      </w:r>
    </w:p>
    <w:p>
      <w:pPr>
        <w:pStyle w:val="Compact"/>
        <w:numPr>
          <w:ilvl w:val="0"/>
          <w:numId w:val="1089"/>
        </w:numPr>
      </w:pPr>
      <w:r>
        <w:rPr>
          <w:b/>
          <w:bCs/>
        </w:rPr>
        <w:t xml:space="preserve">Control Drift Workbook</w:t>
      </w:r>
      <w:r>
        <w:t xml:space="preserve"> </w:t>
      </w:r>
      <w:r>
        <w:t xml:space="preserve">— tracks changes in ScuBA findings (M365 config</w:t>
      </w:r>
      <w:r>
        <w:t xml:space="preserve"> </w:t>
      </w:r>
      <w:r>
        <w:t xml:space="preserve">drift that could affect KSI-001..010 verdicts)</w:t>
      </w:r>
    </w:p>
    <w:p>
      <w:pPr>
        <w:pStyle w:val="Compact"/>
        <w:numPr>
          <w:ilvl w:val="0"/>
          <w:numId w:val="1089"/>
        </w:numPr>
      </w:pPr>
      <w:r>
        <w:rPr>
          <w:b/>
          <w:bCs/>
        </w:rPr>
        <w:t xml:space="preserve">Vulnerability Backlog Workbook</w:t>
      </w:r>
      <w:r>
        <w:t xml:space="preserve"> </w:t>
      </w:r>
      <w:r>
        <w:t xml:space="preserve">— RA-5 KEV hits, CVSS scores, BOD 26-04</w:t>
      </w:r>
      <w:r>
        <w:t xml:space="preserve"> </w:t>
      </w:r>
      <w:r>
        <w:t xml:space="preserve">status per component in the SBOM</w:t>
      </w:r>
    </w:p>
    <w:p>
      <w:pPr>
        <w:pStyle w:val="Compact"/>
        <w:numPr>
          <w:ilvl w:val="0"/>
          <w:numId w:val="1089"/>
        </w:numPr>
      </w:pPr>
      <w:r>
        <w:rPr>
          <w:b/>
          <w:bCs/>
        </w:rPr>
        <w:t xml:space="preserve">Training Coverage Workbook</w:t>
      </w:r>
      <w:r>
        <w:t xml:space="preserve"> </w:t>
      </w:r>
      <w:r>
        <w:t xml:space="preserve">— AT-4 completion rate trend by role tier</w:t>
      </w:r>
    </w:p>
    <w:bookmarkEnd w:id="253"/>
    <w:bookmarkStart w:id="254" w:name="roles-and-responsibilities-ca-71"/>
    <w:p>
      <w:pPr>
        <w:pStyle w:val="Heading2"/>
      </w:pPr>
      <w:r>
        <w:t xml:space="preserve">6.4 Roles and Responsibilities (CA-7(1))</w:t>
      </w:r>
    </w:p>
    <w:p>
      <w:pPr>
        <w:pStyle w:val="TableCaption"/>
      </w:pPr>
      <w:r>
        <w:t xml:space="preserve">ConMon RACI — Key Roles</w:t>
      </w:r>
    </w:p>
    <w:tbl>
      <w:tblPr>
        <w:tblStyle w:val="Table"/>
        <w:tblW w:type="pct" w:w="5000"/>
        <w:tblLayout w:type="fixed"/>
        <w:tblLook w:firstRow="1" w:lastRow="0" w:firstColumn="0" w:lastColumn="0" w:noHBand="0" w:noVBand="0" w:val="0020"/>
        <w:tblCaption w:val="ConMon RACI — Key Roles"/>
      </w:tblPr>
      <w:tblGrid>
        <w:gridCol w:w="1760"/>
        <w:gridCol w:w="6160"/>
      </w:tblGrid>
      <w:tr>
        <w:trPr>
          <w:tblHeader w:val="on"/>
        </w:trPr>
        <w:tc>
          <w:tcPr/>
          <w:p>
            <w:pPr>
              <w:pStyle w:val="Compact"/>
            </w:pPr>
            <w:r>
              <w:t xml:space="preserve">Role</w:t>
            </w:r>
          </w:p>
        </w:tc>
        <w:tc>
          <w:tcPr/>
          <w:p>
            <w:pPr>
              <w:pStyle w:val="Compact"/>
            </w:pPr>
            <w:r>
              <w:t xml:space="preserve">CA-7 Responsibility</w:t>
            </w:r>
          </w:p>
        </w:tc>
      </w:tr>
      <w:tr>
        <w:tc>
          <w:tcPr/>
          <w:p>
            <w:pPr>
              <w:pStyle w:val="Compact"/>
            </w:pPr>
            <w:r>
              <w:rPr>
                <w:b/>
                <w:bCs/>
              </w:rPr>
              <w:t xml:space="preserve">Authorizing Official (AO)</w:t>
            </w:r>
          </w:p>
        </w:tc>
        <w:tc>
          <w:tcPr/>
          <w:p>
            <w:pPr>
              <w:pStyle w:val="Compact"/>
            </w:pPr>
            <w:r>
              <w:t xml:space="preserve">Reviews monthly AR; accepts or escalates open risks; approves ATO renewal</w:t>
            </w:r>
          </w:p>
        </w:tc>
      </w:tr>
      <w:tr>
        <w:tc>
          <w:tcPr/>
          <w:p>
            <w:pPr>
              <w:pStyle w:val="Compact"/>
            </w:pPr>
            <w:r>
              <w:rPr>
                <w:b/>
                <w:bCs/>
              </w:rPr>
              <w:t xml:space="preserve">ISSO</w:t>
            </w:r>
          </w:p>
        </w:tc>
        <w:tc>
          <w:tcPr/>
          <w:p>
            <w:pPr>
              <w:pStyle w:val="Compact"/>
            </w:pPr>
            <w:r>
              <w:t xml:space="preserve">Runs monthly</w:t>
            </w:r>
            <w:r>
              <w:t xml:space="preserve"> </w:t>
            </w:r>
            <w:r>
              <w:rPr>
                <w:rStyle w:val="VerbatimChar"/>
              </w:rPr>
              <w:t xml:space="preserve">&lt;engine&gt; oscal bundle</w:t>
            </w:r>
            <w:r>
              <w:t xml:space="preserve">; reviews Sentinel dashboard; owns POA&amp;M</w:t>
            </w:r>
          </w:p>
        </w:tc>
      </w:tr>
      <w:tr>
        <w:tc>
          <w:tcPr/>
          <w:p>
            <w:pPr>
              <w:pStyle w:val="Compact"/>
            </w:pPr>
            <w:r>
              <w:rPr>
                <w:b/>
                <w:bCs/>
              </w:rPr>
              <w:t xml:space="preserve">ISSM</w:t>
            </w:r>
          </w:p>
        </w:tc>
        <w:tc>
          <w:tcPr/>
          <w:p>
            <w:pPr>
              <w:pStyle w:val="Compact"/>
            </w:pPr>
            <w:r>
              <w:t xml:space="preserve">Chairs quarterly KSI review; escalates trend anomalies to AO</w:t>
            </w:r>
          </w:p>
        </w:tc>
      </w:tr>
      <w:tr>
        <w:tc>
          <w:tcPr/>
          <w:p>
            <w:pPr>
              <w:pStyle w:val="Compact"/>
            </w:pPr>
            <w:r>
              <w:rPr>
                <w:b/>
                <w:bCs/>
              </w:rPr>
              <w:t xml:space="preserve">SOC Lead</w:t>
            </w:r>
          </w:p>
        </w:tc>
        <w:tc>
          <w:tcPr/>
          <w:p>
            <w:pPr>
              <w:pStyle w:val="Compact"/>
            </w:pPr>
            <w:r>
              <w:t xml:space="preserve">Maintains Sentinel workbooks; conducts IR drills; owns detection rule cadence</w:t>
            </w:r>
          </w:p>
        </w:tc>
      </w:tr>
      <w:tr>
        <w:tc>
          <w:tcPr/>
          <w:p>
            <w:pPr>
              <w:pStyle w:val="Compact"/>
            </w:pPr>
            <w:r>
              <w:rPr>
                <w:b/>
                <w:bCs/>
              </w:rPr>
              <w:t xml:space="preserve">SR / Supply Chain</w:t>
            </w:r>
          </w:p>
        </w:tc>
        <w:tc>
          <w:tcPr/>
          <w:p>
            <w:pPr>
              <w:pStyle w:val="Compact"/>
            </w:pPr>
            <w:r>
              <w:t xml:space="preserve">Maintains SBOM pipeline; files VDR/VER; owns BOD 26-04 compliance</w:t>
            </w:r>
          </w:p>
        </w:tc>
      </w:tr>
      <w:tr>
        <w:tc>
          <w:tcPr/>
          <w:p>
            <w:pPr>
              <w:pStyle w:val="Compact"/>
            </w:pPr>
            <w:r>
              <w:rPr>
                <w:b/>
                <w:bCs/>
              </w:rPr>
              <w:t xml:space="preserve">HR / Training Coordinator</w:t>
            </w:r>
          </w:p>
        </w:tc>
        <w:tc>
          <w:tcPr/>
          <w:p>
            <w:pPr>
              <w:pStyle w:val="Compact"/>
            </w:pPr>
            <w:r>
              <w:t xml:space="preserve">Exports monthly LMS records; ensures overall_completion_pct ≥ 95%</w:t>
            </w:r>
          </w:p>
        </w:tc>
      </w:tr>
    </w:tbl>
    <w:p>
      <w:r>
        <w:pict>
          <v:rect style="width:0;height:1.5pt" o:hralign="center" o:hrstd="t" o:hr="t"/>
        </w:pict>
      </w:r>
    </w:p>
    <w:bookmarkEnd w:id="254"/>
    <w:bookmarkEnd w:id="255"/>
    <w:bookmarkStart w:id="258" w:name="risk-assessment-integration-ra-3"/>
    <w:p>
      <w:pPr>
        <w:pStyle w:val="Heading1"/>
      </w:pPr>
      <w:r>
        <w:t xml:space="preserve">7 Risk Assessment Integration (RA-3)</w:t>
      </w:r>
    </w:p>
    <w:bookmarkStart w:id="256" w:name="risk-register-structure"/>
    <w:p>
      <w:pPr>
        <w:pStyle w:val="Heading2"/>
      </w:pPr>
      <w:r>
        <w:t xml:space="preserve">7.1 Risk Register Structure</w:t>
      </w:r>
    </w:p>
    <w:p>
      <w:pPr>
        <w:pStyle w:val="FirstParagraph"/>
      </w:pPr>
      <w:r>
        <w:t xml:space="preserve">The OSCAL AR’s risk entries feed directly into the organizational risk register</w:t>
      </w:r>
      <w:r>
        <w:t xml:space="preserve"> </w:t>
      </w:r>
      <w:r>
        <w:t xml:space="preserve">(PM-9, established in Vol IV Book 03). The risk structure follows OSCAL 1.0.4:</w:t>
      </w:r>
    </w:p>
    <w:tbl>
      <w:tblPr>
        <w:tblStyle w:val="Table"/>
        <w:tblW w:type="pct" w:w="5000"/>
        <w:tblLayout w:type="fixed"/>
        <w:tblLook w:firstRow="1" w:lastRow="0" w:firstColumn="0" w:lastColumn="0" w:noHBand="0" w:noVBand="0" w:val="0020"/>
      </w:tblPr>
      <w:tblGrid>
        <w:gridCol w:w="2795"/>
        <w:gridCol w:w="5124"/>
      </w:tblGrid>
      <w:tr>
        <w:trPr>
          <w:tblHeader w:val="on"/>
        </w:trPr>
        <w:tc>
          <w:tcPr/>
          <w:p>
            <w:pPr>
              <w:pStyle w:val="Compact"/>
            </w:pPr>
            <w:r>
              <w:t xml:space="preserve">OSCAL Field</w:t>
            </w:r>
          </w:p>
        </w:tc>
        <w:tc>
          <w:tcPr/>
          <w:p>
            <w:pPr>
              <w:pStyle w:val="Compact"/>
            </w:pPr>
            <w:r>
              <w:t xml:space="preserve">Risk Register Mapping</w:t>
            </w:r>
          </w:p>
        </w:tc>
      </w:tr>
      <w:tr>
        <w:tc>
          <w:tcPr/>
          <w:p>
            <w:pPr>
              <w:pStyle w:val="Compact"/>
            </w:pPr>
            <w:r>
              <w:rPr>
                <w:rStyle w:val="VerbatimChar"/>
              </w:rPr>
              <w:t xml:space="preserve">risk.title</w:t>
            </w:r>
          </w:p>
        </w:tc>
        <w:tc>
          <w:tcPr/>
          <w:p>
            <w:pPr>
              <w:pStyle w:val="Compact"/>
            </w:pPr>
            <w:r>
              <w:t xml:space="preserve">Risk item name</w:t>
            </w:r>
          </w:p>
        </w:tc>
      </w:tr>
      <w:tr>
        <w:tc>
          <w:tcPr/>
          <w:p>
            <w:pPr>
              <w:pStyle w:val="Compact"/>
            </w:pPr>
            <w:r>
              <w:rPr>
                <w:rStyle w:val="VerbatimChar"/>
              </w:rPr>
              <w:t xml:space="preserve">risk.status</w:t>
            </w:r>
          </w:p>
        </w:tc>
        <w:tc>
          <w:tcPr/>
          <w:p>
            <w:pPr>
              <w:pStyle w:val="Compact"/>
            </w:pPr>
            <w:r>
              <w:t xml:space="preserve">open / closed / deferred</w:t>
            </w:r>
          </w:p>
        </w:tc>
      </w:tr>
      <w:tr>
        <w:tc>
          <w:tcPr/>
          <w:p>
            <w:pPr>
              <w:pStyle w:val="Compact"/>
            </w:pPr>
            <w:r>
              <w:rPr>
                <w:rStyle w:val="VerbatimChar"/>
              </w:rPr>
              <w:t xml:space="preserve">risk.characterizations</w:t>
            </w:r>
          </w:p>
        </w:tc>
        <w:tc>
          <w:tcPr/>
          <w:p>
            <w:pPr>
              <w:pStyle w:val="Compact"/>
            </w:pPr>
            <w:r>
              <w:t xml:space="preserve">CVSS-derived severity; KSI theme</w:t>
            </w:r>
          </w:p>
        </w:tc>
      </w:tr>
      <w:tr>
        <w:tc>
          <w:tcPr/>
          <w:p>
            <w:pPr>
              <w:pStyle w:val="Compact"/>
            </w:pPr>
            <w:r>
              <w:rPr>
                <w:rStyle w:val="VerbatimChar"/>
              </w:rPr>
              <w:t xml:space="preserve">risk.mitigating-factors</w:t>
            </w:r>
          </w:p>
        </w:tc>
        <w:tc>
          <w:tcPr/>
          <w:p>
            <w:pPr>
              <w:pStyle w:val="Compact"/>
            </w:pPr>
            <w:r>
              <w:t xml:space="preserve">Compensating controls from Compliance evidence</w:t>
            </w:r>
          </w:p>
        </w:tc>
      </w:tr>
      <w:tr>
        <w:tc>
          <w:tcPr/>
          <w:p>
            <w:pPr>
              <w:pStyle w:val="Compact"/>
            </w:pPr>
            <w:r>
              <w:rPr>
                <w:rStyle w:val="VerbatimChar"/>
              </w:rPr>
              <w:t xml:space="preserve">risk.remediation-tracking</w:t>
            </w:r>
          </w:p>
        </w:tc>
        <w:tc>
          <w:tcPr/>
          <w:p>
            <w:pPr>
              <w:pStyle w:val="Compact"/>
            </w:pPr>
            <w:r>
              <w:t xml:space="preserve">BOD 26-04 milestones or training milestones</w:t>
            </w:r>
          </w:p>
        </w:tc>
      </w:tr>
    </w:tbl>
    <w:p>
      <w:pPr>
        <w:pStyle w:val="BodyText"/>
      </w:pPr>
      <w:r>
        <w:t xml:space="preserve">When the AR contains zero open risks against the internal rule set (current</w:t>
      </w:r>
      <w:r>
        <w:t xml:space="preserve"> </w:t>
      </w:r>
      <w:r>
        <w:t xml:space="preserve">self-assessed state), the risk register entry for KSI controls reads:</w:t>
      </w:r>
      <w:r>
        <w:t xml:space="preserve"> </w:t>
      </w:r>
      <w:r>
        <w:t xml:space="preserve">“All 29</w:t>
      </w:r>
      <w:r>
        <w:t xml:space="preserve"> </w:t>
      </w:r>
      <w:r>
        <w:t xml:space="preserve">internal KSI rules satisfied — no residual risk from the KSI evaluation</w:t>
      </w:r>
      <w:r>
        <w:t xml:space="preserve"> </w:t>
      </w:r>
      <w:r>
        <w:t xml:space="preserve">(self-assessed; CR26 indicator coverage 19/46, pending reconciliation and SCA).”</w:t>
      </w:r>
      <w:r>
        <w:t xml:space="preserve"> </w:t>
      </w:r>
      <w:r>
        <w:t xml:space="preserve">This does not eliminate enterprise risk; it eliminates internal-rule-set</w:t>
      </w:r>
      <w:r>
        <w:t xml:space="preserve"> </w:t>
      </w:r>
      <w:r>
        <w:t xml:space="preserve">compliance risk only.</w:t>
      </w:r>
    </w:p>
    <w:bookmarkEnd w:id="256"/>
    <w:bookmarkStart w:id="257" w:name="X8d10a249fbdba0d990b4e3f6ae9964964ca46d1"/>
    <w:p>
      <w:pPr>
        <w:pStyle w:val="Heading2"/>
      </w:pPr>
      <w:r>
        <w:t xml:space="preserve">7.2 Residual Risks Not Covered by KSI Evaluation</w:t>
      </w:r>
    </w:p>
    <w:p>
      <w:pPr>
        <w:pStyle w:val="FirstParagraph"/>
      </w:pPr>
      <w:r>
        <w:t xml:space="preserve">The KSI evaluation covers FedRAMP 20x Consolidated Rules. The following</w:t>
      </w:r>
      <w:r>
        <w:t xml:space="preserve"> </w:t>
      </w:r>
      <w:r>
        <w:t xml:space="preserve">risk categories are outside KSI scope and must be managed separately:</w:t>
      </w:r>
    </w:p>
    <w:p>
      <w:pPr>
        <w:pStyle w:val="Compact"/>
        <w:numPr>
          <w:ilvl w:val="0"/>
          <w:numId w:val="1090"/>
        </w:numPr>
      </w:pPr>
      <w:r>
        <w:rPr>
          <w:b/>
          <w:bCs/>
        </w:rPr>
        <w:t xml:space="preserve">Mission risk</w:t>
      </w:r>
      <w:r>
        <w:t xml:space="preserve"> </w:t>
      </w:r>
      <w:r>
        <w:t xml:space="preserve">— impact to Agency service delivery from system failure</w:t>
      </w:r>
    </w:p>
    <w:p>
      <w:pPr>
        <w:pStyle w:val="Compact"/>
        <w:numPr>
          <w:ilvl w:val="0"/>
          <w:numId w:val="1090"/>
        </w:numPr>
      </w:pPr>
      <w:r>
        <w:rPr>
          <w:b/>
          <w:bCs/>
        </w:rPr>
        <w:t xml:space="preserve">Insider threat</w:t>
      </w:r>
      <w:r>
        <w:t xml:space="preserve"> </w:t>
      </w:r>
      <w:r>
        <w:t xml:space="preserve">— behavioral analytics (KSI-001..010 cover technical</w:t>
      </w:r>
      <w:r>
        <w:t xml:space="preserve"> </w:t>
      </w:r>
      <w:r>
        <w:t xml:space="preserve">controls; insider threat requires HR and behavioral monitoring programs)</w:t>
      </w:r>
    </w:p>
    <w:p>
      <w:pPr>
        <w:pStyle w:val="Compact"/>
        <w:numPr>
          <w:ilvl w:val="0"/>
          <w:numId w:val="1090"/>
        </w:numPr>
      </w:pPr>
      <w:r>
        <w:rPr>
          <w:b/>
          <w:bCs/>
        </w:rPr>
        <w:t xml:space="preserve">Physical security</w:t>
      </w:r>
      <w:r>
        <w:t xml:space="preserve"> </w:t>
      </w:r>
      <w:r>
        <w:t xml:space="preserve">— PE family (inherited from the CSP data-center authorization)</w:t>
      </w:r>
    </w:p>
    <w:p>
      <w:pPr>
        <w:pStyle w:val="Compact"/>
        <w:numPr>
          <w:ilvl w:val="0"/>
          <w:numId w:val="1090"/>
        </w:numPr>
      </w:pPr>
      <w:r>
        <w:rPr>
          <w:b/>
          <w:bCs/>
        </w:rPr>
        <w:t xml:space="preserve">Supply chain geopolitical risk</w:t>
      </w:r>
      <w:r>
        <w:t xml:space="preserve"> </w:t>
      </w:r>
      <w:r>
        <w:t xml:space="preserve">— beyond BOD 26-04 SBOM/VDR/VER scope</w:t>
      </w:r>
    </w:p>
    <w:p>
      <w:r>
        <w:pict>
          <v:rect style="width:0;height:1.5pt" o:hralign="center" o:hrstd="t" o:hr="t"/>
        </w:pict>
      </w:r>
    </w:p>
    <w:bookmarkEnd w:id="257"/>
    <w:bookmarkEnd w:id="258"/>
    <w:bookmarkStart w:id="261" w:name="authorization-package-assembly-checklist"/>
    <w:p>
      <w:pPr>
        <w:pStyle w:val="Heading1"/>
      </w:pPr>
      <w:r>
        <w:t xml:space="preserve">8 Authorization Package Assembly Checklist</w:t>
      </w:r>
    </w:p>
    <w:p>
      <w:pPr>
        <w:pStyle w:val="FirstParagraph"/>
      </w:pPr>
      <w:r>
        <w:t xml:space="preserve">The following checklist operationalizes the authorization package assembly.</w:t>
      </w:r>
      <w:r>
        <w:t xml:space="preserve"> </w:t>
      </w:r>
      <w:r>
        <w:t xml:space="preserve">Complete in order before the November 2026 AO review window.</w:t>
      </w:r>
    </w:p>
    <w:bookmarkStart w:id="259" w:name="pre-decision-checklist"/>
    <w:p>
      <w:pPr>
        <w:pStyle w:val="Heading2"/>
      </w:pPr>
      <w:r>
        <w:t xml:space="preserve">8.1 Pre-Decision Checklist</w:t>
      </w:r>
    </w:p>
    <w:p>
      <w:pPr>
        <w:pStyle w:val="FirstParagraph"/>
      </w:pPr>
      <w:r>
        <w:rPr>
          <w:b/>
          <w:bCs/>
        </w:rPr>
        <w:t xml:space="preserve">OSCAL Bundle (CA-2, CA-5):</w:t>
      </w:r>
    </w:p>
    <w:p>
      <w:pPr>
        <w:pStyle w:val="Compact"/>
        <w:numPr>
          <w:ilvl w:val="0"/>
          <w:numId w:val="1091"/>
        </w:numPr>
      </w:pPr>
      <w:r>
        <w:t xml:space="preserve">Run</w:t>
      </w:r>
      <w:r>
        <w:t xml:space="preserve"> </w:t>
      </w:r>
      <w:r>
        <w:rPr>
          <w:rStyle w:val="VerbatimChar"/>
        </w:rPr>
        <w:t xml:space="preserve">&lt;engine&gt; oscal bundle --system-name "Agency GCC Moderate"</w:t>
      </w:r>
      <w:r>
        <w:t xml:space="preserve"> </w:t>
      </w:r>
      <w:r>
        <w:t xml:space="preserve">and confirm 29/29 self-assessed satisfied against the series’ internal KSI decomposition (not the CR26 catalog)</w:t>
      </w:r>
    </w:p>
    <w:p>
      <w:pPr>
        <w:pStyle w:val="Compact"/>
        <w:numPr>
          <w:ilvl w:val="0"/>
          <w:numId w:val="1092"/>
        </w:numPr>
      </w:pPr>
      <w:r>
        <w:t xml:space="preserve">Confirm POA&amp;M has zero open items</w:t>
      </w:r>
      <w:r>
        <w:t xml:space="preserve"> </w:t>
      </w:r>
      <w:r>
        <w:rPr>
          <w:i/>
          <w:iCs/>
        </w:rPr>
        <w:t xml:space="preserve">in the internal rule set</w:t>
      </w:r>
      <w:r>
        <w:t xml:space="preserve"> </w:t>
      </w:r>
      <w:r>
        <w:t xml:space="preserve">— expect it to become non-empty once the internal-rules → CR26 diff and independent SCA are complete</w:t>
      </w:r>
    </w:p>
    <w:p>
      <w:pPr>
        <w:pStyle w:val="Compact"/>
        <w:numPr>
          <w:ilvl w:val="0"/>
          <w:numId w:val="1093"/>
        </w:numPr>
      </w:pPr>
      <w:r>
        <w:t xml:space="preserve">Archive bundle with timestamp to</w:t>
      </w:r>
      <w:r>
        <w:t xml:space="preserve"> </w:t>
      </w:r>
      <w:r>
        <w:rPr>
          <w:rStyle w:val="VerbatimChar"/>
        </w:rPr>
        <w:t xml:space="preserve">output/artifacts/ksi-bundle/history/YYYYMM/</w:t>
      </w:r>
    </w:p>
    <w:p>
      <w:pPr>
        <w:pStyle w:val="Compact"/>
        <w:numPr>
          <w:ilvl w:val="0"/>
          <w:numId w:val="1094"/>
        </w:numPr>
      </w:pPr>
      <w:r>
        <w:t xml:space="preserve">Present bundle (AP + AR + POA&amp;M) to the Agency AO for the RMF authorization decision</w:t>
      </w:r>
    </w:p>
    <w:p>
      <w:pPr>
        <w:pStyle w:val="FirstParagraph"/>
      </w:pPr>
      <w:r>
        <w:rPr>
          <w:b/>
          <w:bCs/>
        </w:rPr>
        <w:t xml:space="preserve">Evidence Books (CA-2):</w:t>
      </w:r>
    </w:p>
    <w:p>
      <w:pPr>
        <w:pStyle w:val="Compact"/>
        <w:numPr>
          <w:ilvl w:val="0"/>
          <w:numId w:val="1095"/>
        </w:numPr>
      </w:pPr>
      <w:r>
        <w:t xml:space="preserve">Confirm all twenty-two content books compiled and available in</w:t>
      </w:r>
      <w:r>
        <w:t xml:space="preserve"> </w:t>
      </w:r>
      <w:r>
        <w:rPr>
          <w:rStyle w:val="VerbatimChar"/>
        </w:rPr>
        <w:t xml:space="preserve">docs/customer-documents/federal-compliance-series/</w:t>
      </w:r>
    </w:p>
    <w:p>
      <w:pPr>
        <w:pStyle w:val="Compact"/>
        <w:numPr>
          <w:ilvl w:val="0"/>
          <w:numId w:val="1096"/>
        </w:numPr>
      </w:pPr>
      <w:r>
        <w:t xml:space="preserve">Upload updated books to agency document management system</w:t>
      </w:r>
    </w:p>
    <w:p>
      <w:pPr>
        <w:pStyle w:val="Compact"/>
        <w:numPr>
          <w:ilvl w:val="0"/>
          <w:numId w:val="1097"/>
        </w:numPr>
      </w:pPr>
      <w:r>
        <w:t xml:space="preserve">Create cross-reference index: book → NIST controls → KSI IDs</w:t>
      </w:r>
    </w:p>
    <w:p>
      <w:pPr>
        <w:pStyle w:val="FirstParagraph"/>
      </w:pPr>
      <w:r>
        <w:rPr>
          <w:b/>
          <w:bCs/>
        </w:rPr>
        <w:t xml:space="preserve">BOD 26-04 (SR-11):</w:t>
      </w:r>
    </w:p>
    <w:p>
      <w:pPr>
        <w:pStyle w:val="Compact"/>
        <w:numPr>
          <w:ilvl w:val="0"/>
          <w:numId w:val="1098"/>
        </w:numPr>
      </w:pPr>
      <w:r>
        <w:t xml:space="preserve">Run SBOM pipeline: Syft scan → CycloneDX 1.6 JSON</w:t>
      </w:r>
    </w:p>
    <w:p>
      <w:pPr>
        <w:pStyle w:val="Compact"/>
        <w:numPr>
          <w:ilvl w:val="0"/>
          <w:numId w:val="1099"/>
        </w:numPr>
      </w:pPr>
      <w:r>
        <w:t xml:space="preserve">Run Grype: vulnerability scan → VDR artifact</w:t>
      </w:r>
    </w:p>
    <w:p>
      <w:pPr>
        <w:pStyle w:val="Compact"/>
        <w:numPr>
          <w:ilvl w:val="0"/>
          <w:numId w:val="1100"/>
        </w:numPr>
      </w:pPr>
      <w:r>
        <w:t xml:space="preserve">Draft VEX statements for all CVEs CVSS ≥ 7.0</w:t>
      </w:r>
    </w:p>
    <w:p>
      <w:pPr>
        <w:pStyle w:val="Compact"/>
        <w:numPr>
          <w:ilvl w:val="0"/>
          <w:numId w:val="1101"/>
        </w:numPr>
      </w:pPr>
      <w:r>
        <w:t xml:space="preserve">Submit VDR/VER to CISA by</w:t>
      </w:r>
      <w:r>
        <w:t xml:space="preserve"> </w:t>
      </w:r>
      <w:r>
        <w:rPr>
          <w:b/>
          <w:bCs/>
        </w:rPr>
        <w:t xml:space="preserve">December 7, 2026</w:t>
      </w:r>
    </w:p>
    <w:p>
      <w:pPr>
        <w:pStyle w:val="Compact"/>
        <w:numPr>
          <w:ilvl w:val="0"/>
          <w:numId w:val="1102"/>
        </w:numPr>
      </w:pPr>
      <w:r>
        <w:t xml:space="preserve">Retain submission confirmation as</w:t>
      </w:r>
      <w:r>
        <w:t xml:space="preserve"> </w:t>
      </w:r>
      <w:r>
        <w:rPr>
          <w:rStyle w:val="VerbatimChar"/>
        </w:rPr>
        <w:t xml:space="preserve">vdr-submission-record.json</w:t>
      </w:r>
    </w:p>
    <w:p>
      <w:pPr>
        <w:pStyle w:val="FirstParagraph"/>
      </w:pPr>
      <w:r>
        <w:rPr>
          <w:b/>
          <w:bCs/>
        </w:rPr>
        <w:t xml:space="preserve">Training (AT-4, KSI-022):</w:t>
      </w:r>
    </w:p>
    <w:p>
      <w:pPr>
        <w:pStyle w:val="Compact"/>
        <w:numPr>
          <w:ilvl w:val="0"/>
          <w:numId w:val="1103"/>
        </w:numPr>
      </w:pPr>
      <w:r>
        <w:t xml:space="preserve">Export</w:t>
      </w:r>
      <w:r>
        <w:t xml:space="preserve"> </w:t>
      </w:r>
      <w:r>
        <w:rPr>
          <w:rStyle w:val="VerbatimChar"/>
        </w:rPr>
        <w:t xml:space="preserve">governance.training-effectiveness-record</w:t>
      </w:r>
      <w:r>
        <w:t xml:space="preserve"> </w:t>
      </w:r>
      <w:r>
        <w:t xml:space="preserve">via the current LMS adapter (Viva Learning Graph API; the schema, not the LMS, is the evidence contract)</w:t>
      </w:r>
    </w:p>
    <w:p>
      <w:pPr>
        <w:pStyle w:val="Compact"/>
        <w:numPr>
          <w:ilvl w:val="0"/>
          <w:numId w:val="1104"/>
        </w:numPr>
      </w:pPr>
      <w:r>
        <w:t xml:space="preserve">Confirm</w:t>
      </w:r>
      <w:r>
        <w:t xml:space="preserve"> </w:t>
      </w:r>
      <w:r>
        <w:rPr>
          <w:rStyle w:val="VerbatimChar"/>
        </w:rPr>
        <w:t xml:space="preserve">overall_completion_pct &gt;= 95.0</w:t>
      </w:r>
    </w:p>
    <w:p>
      <w:pPr>
        <w:pStyle w:val="Compact"/>
        <w:numPr>
          <w:ilvl w:val="0"/>
          <w:numId w:val="1105"/>
        </w:numPr>
      </w:pPr>
      <w:r>
        <w:t xml:space="preserve">Confirm all six</w:t>
      </w:r>
      <w:r>
        <w:t xml:space="preserve"> </w:t>
      </w:r>
      <w:r>
        <w:rPr>
          <w:rStyle w:val="VerbatimChar"/>
        </w:rPr>
        <w:t xml:space="preserve">role_tiers</w:t>
      </w:r>
      <w:r>
        <w:t xml:space="preserve"> </w:t>
      </w:r>
      <w:r>
        <w:t xml:space="preserve">present with</w:t>
      </w:r>
      <w:r>
        <w:t xml:space="preserve"> </w:t>
      </w:r>
      <w:r>
        <w:rPr>
          <w:rStyle w:val="VerbatimChar"/>
        </w:rPr>
        <w:t xml:space="preserve">tier_completion_pct &gt;= 95.0</w:t>
      </w:r>
    </w:p>
    <w:p>
      <w:pPr>
        <w:pStyle w:val="Compact"/>
        <w:numPr>
          <w:ilvl w:val="0"/>
          <w:numId w:val="1106"/>
        </w:numPr>
      </w:pPr>
      <w:r>
        <w:t xml:space="preserve">Confirm</w:t>
      </w:r>
      <w:r>
        <w:t xml:space="preserve"> </w:t>
      </w:r>
      <w:r>
        <w:rPr>
          <w:rStyle w:val="VerbatimChar"/>
        </w:rPr>
        <w:t xml:space="preserve">cp3_tabletop_date</w:t>
      </w:r>
      <w:r>
        <w:t xml:space="preserve"> </w:t>
      </w:r>
      <w:r>
        <w:t xml:space="preserve">and</w:t>
      </w:r>
      <w:r>
        <w:t xml:space="preserve"> </w:t>
      </w:r>
      <w:r>
        <w:rPr>
          <w:rStyle w:val="VerbatimChar"/>
        </w:rPr>
        <w:t xml:space="preserve">ir2_drill_date</w:t>
      </w:r>
      <w:r>
        <w:t xml:space="preserve"> </w:t>
      </w:r>
      <w:r>
        <w:t xml:space="preserve">within 12 months</w:t>
      </w:r>
    </w:p>
    <w:p>
      <w:pPr>
        <w:pStyle w:val="FirstParagraph"/>
      </w:pPr>
      <w:r>
        <w:rPr>
          <w:b/>
          <w:bCs/>
        </w:rPr>
        <w:t xml:space="preserve">ConMon Program (CA-7):</w:t>
      </w:r>
    </w:p>
    <w:p>
      <w:pPr>
        <w:pStyle w:val="Compact"/>
        <w:numPr>
          <w:ilvl w:val="0"/>
          <w:numId w:val="1107"/>
        </w:numPr>
      </w:pPr>
      <w:r>
        <w:t xml:space="preserve">Sentinel ConMon dashboard active and accessible</w:t>
      </w:r>
    </w:p>
    <w:p>
      <w:pPr>
        <w:pStyle w:val="Compact"/>
        <w:numPr>
          <w:ilvl w:val="0"/>
          <w:numId w:val="1108"/>
        </w:numPr>
      </w:pPr>
      <w:r>
        <w:t xml:space="preserve">Monthly AR automation configured (Azure Logic App or scheduled task)</w:t>
      </w:r>
    </w:p>
    <w:p>
      <w:pPr>
        <w:pStyle w:val="Compact"/>
        <w:numPr>
          <w:ilvl w:val="0"/>
          <w:numId w:val="1109"/>
        </w:numPr>
      </w:pPr>
      <w:r>
        <w:t xml:space="preserve">Quarterly KSI review cadence documented in PM-14 T&amp;T&amp;M plan</w:t>
      </w:r>
    </w:p>
    <w:p>
      <w:pPr>
        <w:pStyle w:val="Compact"/>
        <w:numPr>
          <w:ilvl w:val="0"/>
          <w:numId w:val="1110"/>
        </w:numPr>
      </w:pPr>
      <w:r>
        <w:t xml:space="preserve">ISSO designated and documented in PM-2 leadership RACI</w:t>
      </w:r>
    </w:p>
    <w:bookmarkEnd w:id="259"/>
    <w:bookmarkStart w:id="260" w:name="authorization-decision-package-procedure"/>
    <w:p>
      <w:pPr>
        <w:pStyle w:val="Heading2"/>
      </w:pPr>
      <w:r>
        <w:t xml:space="preserve">8.2 Authorization-Decision Package Procedure</w:t>
      </w:r>
    </w:p>
    <w:p>
      <w:pPr>
        <w:pStyle w:val="SourceCode"/>
      </w:pPr>
      <w:r>
        <w:rPr>
          <w:rStyle w:val="CommentTok"/>
        </w:rPr>
        <w:t xml:space="preserve"># 1. Generate final OSCAL bundle</w:t>
      </w:r>
      <w:r>
        <w:br/>
      </w:r>
      <w:r>
        <w:rPr>
          <w:rStyle w:val="OperatorTok"/>
        </w:rPr>
        <w:t xml:space="preserve">&lt;</w:t>
      </w:r>
      <w:r>
        <w:rPr>
          <w:rStyle w:val="NormalTok"/>
        </w:rPr>
        <w:t xml:space="preserve">engine</w:t>
      </w:r>
      <w:r>
        <w:rPr>
          <w:rStyle w:val="OperatorTok"/>
        </w:rPr>
        <w:t xml:space="preserve">&gt;</w:t>
      </w:r>
      <w:r>
        <w:rPr>
          <w:rStyle w:val="NormalTok"/>
        </w:rPr>
        <w:t xml:space="preserve"> oscal </w:t>
      </w:r>
      <w:r>
        <w:rPr>
          <w:rStyle w:val="ExtensionTok"/>
        </w:rPr>
        <w:t xml:space="preserve">bundle</w:t>
      </w:r>
      <w:r>
        <w:rPr>
          <w:rStyle w:val="NormalTok"/>
        </w:rPr>
        <w:t xml:space="preserve"> </w:t>
      </w:r>
      <w:r>
        <w:rPr>
          <w:rStyle w:val="DataTypeTok"/>
        </w:rPr>
        <w:t xml:space="preserve">\</w:t>
      </w:r>
      <w:r>
        <w:br/>
      </w:r>
      <w:r>
        <w:rPr>
          <w:rStyle w:val="NormalTok"/>
        </w:rPr>
        <w:t xml:space="preserve"> </w:t>
      </w:r>
      <w:r>
        <w:rPr>
          <w:rStyle w:val="AttributeTok"/>
        </w:rPr>
        <w:t xml:space="preserve">--system-name</w:t>
      </w:r>
      <w:r>
        <w:rPr>
          <w:rStyle w:val="NormalTok"/>
        </w:rPr>
        <w:t xml:space="preserve"> </w:t>
      </w:r>
      <w:r>
        <w:rPr>
          <w:rStyle w:val="StringTok"/>
        </w:rPr>
        <w:t xml:space="preserve">"Agency GCC Moderate"</w:t>
      </w:r>
      <w:r>
        <w:rPr>
          <w:rStyle w:val="NormalTok"/>
        </w:rPr>
        <w:t xml:space="preserve"> </w:t>
      </w:r>
      <w:r>
        <w:rPr>
          <w:rStyle w:val="DataTypeTok"/>
        </w:rPr>
        <w:t xml:space="preserve">\</w:t>
      </w:r>
      <w:r>
        <w:br/>
      </w:r>
      <w:r>
        <w:rPr>
          <w:rStyle w:val="NormalTok"/>
        </w:rPr>
        <w:t xml:space="preserve"> </w:t>
      </w:r>
      <w:r>
        <w:rPr>
          <w:rStyle w:val="AttributeTok"/>
        </w:rPr>
        <w:t xml:space="preserve">--ssp-href</w:t>
      </w:r>
      <w:r>
        <w:rPr>
          <w:rStyle w:val="NormalTok"/>
        </w:rPr>
        <w:t xml:space="preserve"> </w:t>
      </w:r>
      <w:r>
        <w:rPr>
          <w:rStyle w:val="StringTok"/>
        </w:rPr>
        <w:t xml:space="preserve">"#&lt;ssp-uuid-from-engine-ssp-generator&gt;"</w:t>
      </w:r>
      <w:r>
        <w:br/>
      </w:r>
      <w:r>
        <w:br/>
      </w:r>
      <w:r>
        <w:rPr>
          <w:rStyle w:val="CommentTok"/>
        </w:rPr>
        <w:t xml:space="preserve"># 2. Archive with date stamp</w:t>
      </w:r>
      <w:r>
        <w:br/>
      </w:r>
      <w:r>
        <w:rPr>
          <w:rStyle w:val="FunctionTok"/>
        </w:rPr>
        <w:t xml:space="preserve">cp</w:t>
      </w:r>
      <w:r>
        <w:rPr>
          <w:rStyle w:val="NormalTok"/>
        </w:rPr>
        <w:t xml:space="preserve"> </w:t>
      </w:r>
      <w:r>
        <w:rPr>
          <w:rStyle w:val="AttributeTok"/>
        </w:rPr>
        <w:t xml:space="preserve">-r</w:t>
      </w:r>
      <w:r>
        <w:rPr>
          <w:rStyle w:val="NormalTok"/>
        </w:rPr>
        <w:t xml:space="preserve"> output/artifacts/ksi-bundle/ </w:t>
      </w:r>
      <w:r>
        <w:rPr>
          <w:rStyle w:val="DataTypeTok"/>
        </w:rPr>
        <w:t xml:space="preserve">\</w:t>
      </w:r>
      <w:r>
        <w:br/>
      </w:r>
      <w:r>
        <w:rPr>
          <w:rStyle w:val="NormalTok"/>
        </w:rPr>
        <w:t xml:space="preserve"> output/artifacts/ksi-bundle/history/</w:t>
      </w:r>
      <w:r>
        <w:rPr>
          <w:rStyle w:val="VariableTok"/>
        </w:rPr>
        <w:t xml:space="preserve">$(</w:t>
      </w:r>
      <w:r>
        <w:rPr>
          <w:rStyle w:val="FunctionTok"/>
        </w:rPr>
        <w:t xml:space="preserve">date</w:t>
      </w:r>
      <w:r>
        <w:rPr>
          <w:rStyle w:val="NormalTok"/>
        </w:rPr>
        <w:t xml:space="preserve"> +%Y%m</w:t>
      </w:r>
      <w:r>
        <w:rPr>
          <w:rStyle w:val="VariableTok"/>
        </w:rPr>
        <w:t xml:space="preserve">)</w:t>
      </w:r>
      <w:r>
        <w:rPr>
          <w:rStyle w:val="NormalTok"/>
        </w:rPr>
        <w:t xml:space="preserve">/</w:t>
      </w:r>
      <w:r>
        <w:br/>
      </w:r>
      <w:r>
        <w:br/>
      </w:r>
      <w:r>
        <w:rPr>
          <w:rStyle w:val="CommentTok"/>
        </w:rPr>
        <w:t xml:space="preserve"># 3. Validate bundle structure</w:t>
      </w:r>
      <w:r>
        <w:br/>
      </w:r>
      <w:r>
        <w:rPr>
          <w:rStyle w:val="ExtensionTok"/>
        </w:rPr>
        <w:t xml:space="preserve">python3</w:t>
      </w:r>
      <w:r>
        <w:rPr>
          <w:rStyle w:val="NormalTok"/>
        </w:rPr>
        <w:t xml:space="preserve"> </w:t>
      </w:r>
      <w:r>
        <w:rPr>
          <w:rStyle w:val="AttributeTok"/>
        </w:rPr>
        <w:t xml:space="preserve">-c</w:t>
      </w:r>
      <w:r>
        <w:rPr>
          <w:rStyle w:val="NormalTok"/>
        </w:rPr>
        <w:t xml:space="preserve"> </w:t>
      </w:r>
      <w:r>
        <w:rPr>
          <w:rStyle w:val="StringTok"/>
        </w:rPr>
        <w:t xml:space="preserve">"</w:t>
      </w:r>
      <w:r>
        <w:br/>
      </w:r>
      <w:r>
        <w:rPr>
          <w:rStyle w:val="StringTok"/>
        </w:rPr>
        <w:t xml:space="preserve">import json</w:t>
      </w:r>
      <w:r>
        <w:br/>
      </w:r>
      <w:r>
        <w:rPr>
          <w:rStyle w:val="StringTok"/>
        </w:rPr>
        <w:t xml:space="preserve">for name in ['ksi-ap.json', 'ksi-ar.json', 'ksi-poam.json']:</w:t>
      </w:r>
      <w:r>
        <w:br/>
      </w:r>
      <w:r>
        <w:rPr>
          <w:rStyle w:val="StringTok"/>
        </w:rPr>
        <w:t xml:space="preserve"> doc = json.load(open(f'output/artifacts/ksi-bundle/{name}'))</w:t>
      </w:r>
      <w:r>
        <w:br/>
      </w:r>
      <w:r>
        <w:rPr>
          <w:rStyle w:val="StringTok"/>
        </w:rPr>
        <w:t xml:space="preserve"> print(f'{name}: OK — {list(doc.keys)[0]}')</w:t>
      </w:r>
      <w:r>
        <w:br/>
      </w:r>
      <w:r>
        <w:rPr>
          <w:rStyle w:val="StringTok"/>
        </w:rPr>
        <w:t xml:space="preserve">"</w:t>
      </w:r>
      <w:r>
        <w:br/>
      </w:r>
      <w:r>
        <w:br/>
      </w:r>
      <w:r>
        <w:rPr>
          <w:rStyle w:val="CommentTok"/>
        </w:rPr>
        <w:t xml:space="preserve"># 4. Package for the Agency AO review</w:t>
      </w:r>
      <w:r>
        <w:br/>
      </w:r>
      <w:r>
        <w:rPr>
          <w:rStyle w:val="FunctionTok"/>
        </w:rPr>
        <w:t xml:space="preserve">zip</w:t>
      </w:r>
      <w:r>
        <w:rPr>
          <w:rStyle w:val="NormalTok"/>
        </w:rPr>
        <w:t xml:space="preserve"> </w:t>
      </w:r>
      <w:r>
        <w:rPr>
          <w:rStyle w:val="AttributeTok"/>
        </w:rPr>
        <w:t xml:space="preserve">-r</w:t>
      </w:r>
      <w:r>
        <w:rPr>
          <w:rStyle w:val="NormalTok"/>
        </w:rPr>
        <w:t xml:space="preserve"> ssa-gcc-moderate-authpkg-</w:t>
      </w:r>
      <w:r>
        <w:rPr>
          <w:rStyle w:val="VariableTok"/>
        </w:rPr>
        <w:t xml:space="preserve">$(</w:t>
      </w:r>
      <w:r>
        <w:rPr>
          <w:rStyle w:val="FunctionTok"/>
        </w:rPr>
        <w:t xml:space="preserve">date</w:t>
      </w:r>
      <w:r>
        <w:rPr>
          <w:rStyle w:val="NormalTok"/>
        </w:rPr>
        <w:t xml:space="preserve"> +%Y%m%d</w:t>
      </w:r>
      <w:r>
        <w:rPr>
          <w:rStyle w:val="VariableTok"/>
        </w:rPr>
        <w:t xml:space="preserve">)</w:t>
      </w:r>
      <w:r>
        <w:rPr>
          <w:rStyle w:val="NormalTok"/>
        </w:rPr>
        <w:t xml:space="preserve">.zip </w:t>
      </w:r>
      <w:r>
        <w:rPr>
          <w:rStyle w:val="DataTypeTok"/>
        </w:rPr>
        <w:t xml:space="preserve">\</w:t>
      </w:r>
      <w:r>
        <w:br/>
      </w:r>
      <w:r>
        <w:rPr>
          <w:rStyle w:val="NormalTok"/>
        </w:rPr>
        <w:t xml:space="preserve"> output/artifacts/ksi-bundle/ </w:t>
      </w:r>
      <w:r>
        <w:rPr>
          <w:rStyle w:val="DataTypeTok"/>
        </w:rPr>
        <w:t xml:space="preserve">\</w:t>
      </w:r>
      <w:r>
        <w:br/>
      </w:r>
      <w:r>
        <w:rPr>
          <w:rStyle w:val="NormalTok"/>
        </w:rPr>
        <w:t xml:space="preserve"> inbox/Application\ Aware\ Networking/Book_</w:t>
      </w:r>
      <w:r>
        <w:rPr>
          <w:rStyle w:val="PreprocessorTok"/>
        </w:rPr>
        <w:t xml:space="preserve">*</w:t>
      </w:r>
      <w:r>
        <w:rPr>
          <w:rStyle w:val="NormalTok"/>
        </w:rPr>
        <w:t xml:space="preserve">.docx</w:t>
      </w:r>
    </w:p>
    <w:p>
      <w:r>
        <w:pict>
          <v:rect style="width:0;height:1.5pt" o:hralign="center" o:hrstd="t" o:hr="t"/>
        </w:pict>
      </w:r>
    </w:p>
    <w:bookmarkEnd w:id="260"/>
    <w:bookmarkEnd w:id="261"/>
    <w:bookmarkStart w:id="262" w:name="controls-closed-by-this-document-1"/>
    <w:p>
      <w:pPr>
        <w:pStyle w:val="Heading1"/>
      </w:pPr>
      <w:r>
        <w:t xml:space="preserve">9 Controls Closed by This Document</w:t>
      </w:r>
    </w:p>
    <w:p>
      <w:pPr>
        <w:pStyle w:val="TableCaption"/>
      </w:pPr>
      <w:r>
        <w:t xml:space="preserve">Controls Closed by Vol IV Book 06</w:t>
      </w:r>
    </w:p>
    <w:tbl>
      <w:tblPr>
        <w:tblStyle w:val="Table"/>
        <w:tblW w:type="pct" w:w="5000"/>
        <w:tblLayout w:type="fixed"/>
        <w:tblLook w:firstRow="1" w:lastRow="0" w:firstColumn="0" w:lastColumn="0" w:noHBand="0" w:noVBand="0" w:val="0020"/>
        <w:tblCaption w:val="Controls Closed by Vol IV Book 06"/>
      </w:tblPr>
      <w:tblGrid>
        <w:gridCol w:w="2036"/>
        <w:gridCol w:w="1584"/>
        <w:gridCol w:w="4299"/>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Closure Mechanism</w:t>
            </w:r>
          </w:p>
        </w:tc>
      </w:tr>
      <w:tr>
        <w:tc>
          <w:tcPr/>
          <w:p>
            <w:pPr>
              <w:pStyle w:val="Compact"/>
            </w:pPr>
            <w:r>
              <w:rPr>
                <w:b/>
                <w:bCs/>
              </w:rPr>
              <w:t xml:space="preserve">CA-2</w:t>
            </w:r>
          </w:p>
        </w:tc>
        <w:tc>
          <w:tcPr/>
          <w:p>
            <w:pPr>
              <w:pStyle w:val="Compact"/>
            </w:pPr>
            <w:r>
              <w:t xml:space="preserve">Control Assessments</w:t>
            </w:r>
          </w:p>
        </w:tc>
        <w:tc>
          <w:tcPr/>
          <w:p>
            <w:pPr>
              <w:pStyle w:val="Compact"/>
            </w:pPr>
            <w:r>
              <w:t xml:space="preserve">OSCAL AR (</w:t>
            </w:r>
            <w:r>
              <w:rPr>
                <w:rStyle w:val="VerbatimChar"/>
              </w:rPr>
              <w:t xml:space="preserve">ksi-ar.json</w:t>
            </w:r>
            <w:r>
              <w:t xml:space="preserve">) is the formal security assessment record for all 29 internal KSI-decomposition rules; generated by</w:t>
            </w:r>
            <w:r>
              <w:t xml:space="preserve"> </w:t>
            </w:r>
            <w:r>
              <w:rPr>
                <w:rStyle w:val="VerbatimChar"/>
              </w:rPr>
              <w:t xml:space="preserve">&lt;engine&gt; oscal bundle</w:t>
            </w:r>
            <w:r>
              <w:t xml:space="preserve"> </w:t>
            </w:r>
            <w:r>
              <w:t xml:space="preserve">on a monthly cadence</w:t>
            </w:r>
          </w:p>
        </w:tc>
      </w:tr>
      <w:tr>
        <w:tc>
          <w:tcPr/>
          <w:p>
            <w:pPr>
              <w:pStyle w:val="Compact"/>
            </w:pPr>
            <w:r>
              <w:rPr>
                <w:b/>
                <w:bCs/>
              </w:rPr>
              <w:t xml:space="preserve">CA-5</w:t>
            </w:r>
          </w:p>
        </w:tc>
        <w:tc>
          <w:tcPr/>
          <w:p>
            <w:pPr>
              <w:pStyle w:val="Compact"/>
            </w:pPr>
            <w:r>
              <w:t xml:space="preserve">Plan of Action and Milestones</w:t>
            </w:r>
          </w:p>
        </w:tc>
        <w:tc>
          <w:tcPr/>
          <w:p>
            <w:pPr>
              <w:pStyle w:val="Compact"/>
            </w:pPr>
            <w:r>
              <w:t xml:space="preserve">OSCAL POA&amp;M (</w:t>
            </w:r>
            <w:r>
              <w:rPr>
                <w:rStyle w:val="VerbatimChar"/>
              </w:rPr>
              <w:t xml:space="preserve">ksi-poam.json</w:t>
            </w:r>
            <w:r>
              <w:t xml:space="preserve">) is the formal POA&amp;M; auto-populated from AR findings; zero items in current run</w:t>
            </w:r>
          </w:p>
        </w:tc>
      </w:tr>
      <w:tr>
        <w:tc>
          <w:tcPr/>
          <w:p>
            <w:pPr>
              <w:pStyle w:val="Compact"/>
            </w:pPr>
            <w:r>
              <w:rPr>
                <w:b/>
                <w:bCs/>
              </w:rPr>
              <w:t xml:space="preserve">CA-6</w:t>
            </w:r>
          </w:p>
        </w:tc>
        <w:tc>
          <w:tcPr/>
          <w:p>
            <w:pPr>
              <w:pStyle w:val="Compact"/>
            </w:pPr>
            <w:r>
              <w:t xml:space="preserve">Authorization</w:t>
            </w:r>
          </w:p>
        </w:tc>
        <w:tc>
          <w:tcPr/>
          <w:p>
            <w:pPr>
              <w:pStyle w:val="Compact"/>
            </w:pPr>
            <w:r>
              <w:t xml:space="preserve">Agency ATO package structure documented in §4; assembly checklist in §8; AO review roles in §6.4; leveraged FedRAMP authorizations documented as inherited controls in the SSP</w:t>
            </w:r>
          </w:p>
        </w:tc>
      </w:tr>
      <w:tr>
        <w:tc>
          <w:tcPr/>
          <w:p>
            <w:pPr>
              <w:pStyle w:val="Compact"/>
            </w:pPr>
            <w:r>
              <w:rPr>
                <w:b/>
                <w:bCs/>
              </w:rPr>
              <w:t xml:space="preserve">CA-7</w:t>
            </w:r>
          </w:p>
        </w:tc>
        <w:tc>
          <w:tcPr/>
          <w:p>
            <w:pPr>
              <w:pStyle w:val="Compact"/>
            </w:pPr>
            <w:r>
              <w:t xml:space="preserve">Continuous Monitoring</w:t>
            </w:r>
          </w:p>
        </w:tc>
        <w:tc>
          <w:tcPr/>
          <w:p>
            <w:pPr>
              <w:pStyle w:val="Compact"/>
            </w:pPr>
            <w:r>
              <w:t xml:space="preserve">Monthly</w:t>
            </w:r>
            <w:r>
              <w:t xml:space="preserve"> </w:t>
            </w:r>
            <w:r>
              <w:rPr>
                <w:rStyle w:val="VerbatimChar"/>
              </w:rPr>
              <w:t xml:space="preserve">&lt;engine&gt; oscal bundle</w:t>
            </w:r>
            <w:r>
              <w:t xml:space="preserve"> </w:t>
            </w:r>
            <w:r>
              <w:t xml:space="preserve">→ Sentinel dashboard; quarterly KSI trend review; evidence freshness rules per slot in §6.2</w:t>
            </w:r>
          </w:p>
        </w:tc>
      </w:tr>
      <w:tr>
        <w:tc>
          <w:tcPr/>
          <w:p>
            <w:pPr>
              <w:pStyle w:val="Compact"/>
            </w:pPr>
            <w:r>
              <w:rPr>
                <w:b/>
                <w:bCs/>
              </w:rPr>
              <w:t xml:space="preserve">CA-7(1)</w:t>
            </w:r>
          </w:p>
        </w:tc>
        <w:tc>
          <w:tcPr/>
          <w:p>
            <w:pPr>
              <w:pStyle w:val="Compact"/>
            </w:pPr>
            <w:r>
              <w:t xml:space="preserve">Independent Assessment</w:t>
            </w:r>
          </w:p>
        </w:tc>
        <w:tc>
          <w:tcPr/>
          <w:p>
            <w:pPr>
              <w:pStyle w:val="Compact"/>
            </w:pPr>
            <w:r>
              <w:t xml:space="preserve">Independent security control assessment (SCA) of the OSCAL AR — Agency may engage a FedRAMP-recognized 3PAO as its assessor — constitutes the independent assessment; ScuBAGear is run by the Agency ISSO as agency self-assessment against the external CISA ScuBA baseline, feeding the same M365 evidence into that engagement</w:t>
            </w:r>
          </w:p>
        </w:tc>
      </w:tr>
      <w:tr>
        <w:tc>
          <w:tcPr/>
          <w:p>
            <w:pPr>
              <w:pStyle w:val="Compact"/>
            </w:pPr>
            <w:r>
              <w:rPr>
                <w:b/>
                <w:bCs/>
              </w:rPr>
              <w:t xml:space="preserve">CA-7(3)</w:t>
            </w:r>
          </w:p>
        </w:tc>
        <w:tc>
          <w:tcPr/>
          <w:p>
            <w:pPr>
              <w:pStyle w:val="Compact"/>
            </w:pPr>
            <w:r>
              <w:t xml:space="preserve">Trend Analyses</w:t>
            </w:r>
          </w:p>
        </w:tc>
        <w:tc>
          <w:tcPr/>
          <w:p>
            <w:pPr>
              <w:pStyle w:val="Compact"/>
            </w:pPr>
            <w:r>
              <w:t xml:space="preserve">Sentinel KSI Status Workbook; AR history archive in</w:t>
            </w:r>
            <w:r>
              <w:t xml:space="preserve"> </w:t>
            </w:r>
            <w:r>
              <w:rPr>
                <w:rStyle w:val="VerbatimChar"/>
              </w:rPr>
              <w:t xml:space="preserve">output/artifacts/ksi-bundle/history/</w:t>
            </w:r>
            <w:r>
              <w:t xml:space="preserve">; quarterly trend briefing to AO</w:t>
            </w:r>
          </w:p>
        </w:tc>
      </w:tr>
      <w:tr>
        <w:tc>
          <w:tcPr/>
          <w:p>
            <w:pPr>
              <w:pStyle w:val="Compact"/>
            </w:pPr>
            <w:r>
              <w:rPr>
                <w:b/>
                <w:bCs/>
              </w:rPr>
              <w:t xml:space="preserve">RA-3</w:t>
            </w:r>
          </w:p>
        </w:tc>
        <w:tc>
          <w:tcPr/>
          <w:p>
            <w:pPr>
              <w:pStyle w:val="Compact"/>
            </w:pPr>
            <w:r>
              <w:t xml:space="preserve">Risk Assessment</w:t>
            </w:r>
          </w:p>
        </w:tc>
        <w:tc>
          <w:tcPr/>
          <w:p>
            <w:pPr>
              <w:pStyle w:val="Compact"/>
            </w:pPr>
            <w:r>
              <w:t xml:space="preserve">OSCAL AR risk entries feed PM-9 risk register; residual risk taxonomy in §7.2</w:t>
            </w:r>
          </w:p>
        </w:tc>
      </w:tr>
      <w:tr>
        <w:tc>
          <w:tcPr/>
          <w:p>
            <w:pPr>
              <w:pStyle w:val="Compact"/>
            </w:pPr>
            <w:r>
              <w:rPr>
                <w:b/>
                <w:bCs/>
              </w:rPr>
              <w:t xml:space="preserve">SA-15</w:t>
            </w:r>
          </w:p>
        </w:tc>
        <w:tc>
          <w:tcPr/>
          <w:p>
            <w:pPr>
              <w:pStyle w:val="Compact"/>
            </w:pPr>
            <w:r>
              <w:t xml:space="preserve">Development Process, Standards, and Tools</w:t>
            </w:r>
          </w:p>
        </w:tc>
        <w:tc>
          <w:tcPr/>
          <w:p>
            <w:pPr>
              <w:pStyle w:val="Compact"/>
            </w:pPr>
            <w:r>
              <w:t xml:space="preserve">The slot evaluator, series origin, and diagram pipeline are documented design decisions of record covering the development process used to build the evidence pipeline; the engine’s CI/CD gate (lint, type-check, and unit-test suite) is the SA-15 toolchain evidence</w:t>
            </w:r>
          </w:p>
        </w:tc>
      </w:tr>
    </w:tbl>
    <w:p>
      <w:r>
        <w:pict>
          <v:rect style="width:0;height:1.5pt" o:hralign="center" o:hrstd="t" o:hr="t"/>
        </w:pict>
      </w:r>
    </w:p>
    <w:bookmarkEnd w:id="262"/>
    <w:bookmarkStart w:id="263" w:name="appendix-a-oscal-ar-findings-summary"/>
    <w:p>
      <w:pPr>
        <w:pStyle w:val="Heading1"/>
      </w:pPr>
      <w:r>
        <w:t xml:space="preserve">Appendix A — OSCAL AR Findings Summary</w:t>
      </w:r>
    </w:p>
    <w:p>
      <w:pPr>
        <w:pStyle w:val="FirstParagraph"/>
      </w:pPr>
      <w:r>
        <w:t xml:space="preserve">The following table summarizes the 29 KSI findings from the July 4, 2026 bundle</w:t>
      </w:r>
      <w:r>
        <w:t xml:space="preserve"> </w:t>
      </w:r>
      <w:r>
        <w:t xml:space="preserve">run (self-assessment). All 29 are evaluated as satisfied pending independent SCA.</w:t>
      </w:r>
    </w:p>
    <w:p>
      <w:pPr>
        <w:pStyle w:val="BlockText"/>
      </w:pPr>
      <w:r>
        <w:rPr>
          <w:b/>
          <w:bCs/>
        </w:rPr>
        <w:t xml:space="preserve">Indicator-level mapping is NOT asserted here.</w:t>
      </w:r>
      <w:r>
        <w:t xml:space="preserve"> </w:t>
      </w:r>
      <w:r>
        <w:t xml:space="preserve">The</w:t>
      </w:r>
      <w:r>
        <w:t xml:space="preserve"> </w:t>
      </w:r>
      <w:r>
        <w:rPr>
          <w:rStyle w:val="VerbatimChar"/>
        </w:rPr>
        <w:t xml:space="preserve">CR26 Theme</w:t>
      </w:r>
      <w:r>
        <w:t xml:space="preserve"> </w:t>
      </w:r>
      <w:r>
        <w:t xml:space="preserve">column gives the CR26 Moderate</w:t>
      </w:r>
      <w:r>
        <w:t xml:space="preserve"> </w:t>
      </w:r>
      <w:r>
        <w:rPr>
          <w:i/>
          <w:iCs/>
        </w:rPr>
        <w:t xml:space="preserve">theme</w:t>
      </w:r>
      <w:r>
        <w:t xml:space="preserve"> </w:t>
      </w:r>
      <w:r>
        <w:t xml:space="preserve">each internal rule contributes to; the authoritative rule→indicator reconciliation (19 of the 46 CR26 indicators mapped) lives in</w:t>
      </w:r>
      <w:r>
        <w:t xml:space="preserve"> </w:t>
      </w:r>
      <w:r>
        <w:rPr>
          <w:rStyle w:val="VerbatimChar"/>
        </w:rPr>
        <w:t xml:space="preserve">Compliance_CR26_Reconciliation.md</w:t>
      </w:r>
      <w:r>
        <w:t xml:space="preserve">. The</w:t>
      </w:r>
      <w:r>
        <w:t xml:space="preserve"> </w:t>
      </w:r>
      <w:r>
        <w:rPr>
          <w:rStyle w:val="VerbatimChar"/>
        </w:rPr>
        <w:t xml:space="preserve">KSI-0NN</w:t>
      </w:r>
      <w:r>
        <w:t xml:space="preserve"> </w:t>
      </w:r>
      <w:r>
        <w:t xml:space="preserve">ids are the series’ internal rules, not CR26 indicator ids.</w:t>
      </w:r>
    </w:p>
    <w:p>
      <w:pPr>
        <w:pStyle w:val="TableCaption"/>
      </w:pPr>
      <w:r>
        <w:t xml:space="preserve">KSI Findings Summary — July 4, 2026 Bundle Run</w:t>
      </w:r>
    </w:p>
    <w:tbl>
      <w:tblPr>
        <w:tblStyle w:val="Table"/>
        <w:tblW w:type="auto" w:w="0"/>
        <w:tblLook w:firstRow="1" w:lastRow="0" w:firstColumn="0" w:lastColumn="0" w:noHBand="0" w:noVBand="0" w:val="0020"/>
        <w:tblCaption w:val="KSI Findings Summary — July 4, 2026 Bundle Run"/>
      </w:tblPr>
      <w:tblGrid>
        <w:gridCol w:w="1980"/>
        <w:gridCol w:w="1980"/>
        <w:gridCol w:w="1980"/>
        <w:gridCol w:w="1980"/>
      </w:tblGrid>
      <w:tr>
        <w:trPr>
          <w:tblHeader w:val="on"/>
        </w:trPr>
        <w:tc>
          <w:tcPr/>
          <w:p>
            <w:pPr>
              <w:pStyle w:val="Compact"/>
            </w:pPr>
            <w:r>
              <w:t xml:space="preserve">KSI ID</w:t>
            </w:r>
          </w:p>
        </w:tc>
        <w:tc>
          <w:tcPr/>
          <w:p>
            <w:pPr>
              <w:pStyle w:val="Compact"/>
            </w:pPr>
            <w:r>
              <w:t xml:space="preserve">CR26 Theme</w:t>
            </w:r>
          </w:p>
        </w:tc>
        <w:tc>
          <w:tcPr/>
          <w:p>
            <w:pPr>
              <w:pStyle w:val="Compact"/>
            </w:pPr>
            <w:r>
              <w:t xml:space="preserve">Evaluation Path</w:t>
            </w:r>
          </w:p>
        </w:tc>
        <w:tc>
          <w:tcPr/>
          <w:p>
            <w:pPr>
              <w:pStyle w:val="Compact"/>
            </w:pPr>
            <w:r>
              <w:t xml:space="preserve">Verdict</w:t>
            </w:r>
          </w:p>
        </w:tc>
      </w:tr>
      <w:tr>
        <w:tc>
          <w:tcPr/>
          <w:p>
            <w:pPr>
              <w:pStyle w:val="Compact"/>
            </w:pPr>
            <w:r>
              <w:t xml:space="preserve">KSI-001</w:t>
            </w:r>
          </w:p>
        </w:tc>
        <w:tc>
          <w:tcPr/>
          <w:p>
            <w:pPr>
              <w:pStyle w:val="Compact"/>
            </w:pPr>
            <w:r>
              <w:t xml:space="preserve">KSI-IAM</w:t>
            </w:r>
          </w:p>
        </w:tc>
        <w:tc>
          <w:tcPr/>
          <w:p>
            <w:pPr>
              <w:pStyle w:val="Compact"/>
            </w:pPr>
            <w:r>
              <w:t xml:space="preserve">ScuBA (M365-ACCT-001)</w:t>
            </w:r>
          </w:p>
        </w:tc>
        <w:tc>
          <w:tcPr/>
          <w:p>
            <w:pPr>
              <w:pStyle w:val="Compact"/>
            </w:pPr>
            <w:r>
              <w:t xml:space="preserve">satisfied</w:t>
            </w:r>
          </w:p>
        </w:tc>
      </w:tr>
      <w:tr>
        <w:tc>
          <w:tcPr/>
          <w:p>
            <w:pPr>
              <w:pStyle w:val="Compact"/>
            </w:pPr>
            <w:r>
              <w:t xml:space="preserve">KSI-002</w:t>
            </w:r>
          </w:p>
        </w:tc>
        <w:tc>
          <w:tcPr/>
          <w:p>
            <w:pPr>
              <w:pStyle w:val="Compact"/>
            </w:pPr>
            <w:r>
              <w:t xml:space="preserve">KSI-IAM</w:t>
            </w:r>
          </w:p>
        </w:tc>
        <w:tc>
          <w:tcPr/>
          <w:p>
            <w:pPr>
              <w:pStyle w:val="Compact"/>
            </w:pPr>
            <w:r>
              <w:t xml:space="preserve">ScuBA (M365-AUTH-002)</w:t>
            </w:r>
          </w:p>
        </w:tc>
        <w:tc>
          <w:tcPr/>
          <w:p>
            <w:pPr>
              <w:pStyle w:val="Compact"/>
            </w:pPr>
            <w:r>
              <w:t xml:space="preserve">satisfied</w:t>
            </w:r>
          </w:p>
        </w:tc>
      </w:tr>
      <w:tr>
        <w:tc>
          <w:tcPr/>
          <w:p>
            <w:pPr>
              <w:pStyle w:val="Compact"/>
            </w:pPr>
            <w:r>
              <w:t xml:space="preserve">KSI-003</w:t>
            </w:r>
          </w:p>
        </w:tc>
        <w:tc>
          <w:tcPr/>
          <w:p>
            <w:pPr>
              <w:pStyle w:val="Compact"/>
            </w:pPr>
            <w:r>
              <w:t xml:space="preserve">KSI-IAM</w:t>
            </w:r>
          </w:p>
        </w:tc>
        <w:tc>
          <w:tcPr/>
          <w:p>
            <w:pPr>
              <w:pStyle w:val="Compact"/>
            </w:pPr>
            <w:r>
              <w:t xml:space="preserve">ScuBA (M365-PRIV-003)</w:t>
            </w:r>
          </w:p>
        </w:tc>
        <w:tc>
          <w:tcPr/>
          <w:p>
            <w:pPr>
              <w:pStyle w:val="Compact"/>
            </w:pPr>
            <w:r>
              <w:t xml:space="preserve">satisfied</w:t>
            </w:r>
          </w:p>
        </w:tc>
      </w:tr>
      <w:tr>
        <w:tc>
          <w:tcPr/>
          <w:p>
            <w:pPr>
              <w:pStyle w:val="Compact"/>
            </w:pPr>
            <w:r>
              <w:t xml:space="preserve">KSI-004</w:t>
            </w:r>
          </w:p>
        </w:tc>
        <w:tc>
          <w:tcPr/>
          <w:p>
            <w:pPr>
              <w:pStyle w:val="Compact"/>
            </w:pPr>
            <w:r>
              <w:t xml:space="preserve">KSI-SVC</w:t>
            </w:r>
          </w:p>
        </w:tc>
        <w:tc>
          <w:tcPr/>
          <w:p>
            <w:pPr>
              <w:pStyle w:val="Compact"/>
            </w:pPr>
            <w:r>
              <w:t xml:space="preserve">ScuBA (M365-EXO-004)</w:t>
            </w:r>
          </w:p>
        </w:tc>
        <w:tc>
          <w:tcPr/>
          <w:p>
            <w:pPr>
              <w:pStyle w:val="Compact"/>
            </w:pPr>
            <w:r>
              <w:t xml:space="preserve">satisfied</w:t>
            </w:r>
          </w:p>
        </w:tc>
      </w:tr>
      <w:tr>
        <w:tc>
          <w:tcPr/>
          <w:p>
            <w:pPr>
              <w:pStyle w:val="Compact"/>
            </w:pPr>
            <w:r>
              <w:t xml:space="preserve">KSI-005</w:t>
            </w:r>
          </w:p>
        </w:tc>
        <w:tc>
          <w:tcPr/>
          <w:p>
            <w:pPr>
              <w:pStyle w:val="Compact"/>
            </w:pPr>
            <w:r>
              <w:t xml:space="preserve">KSI-MLA</w:t>
            </w:r>
          </w:p>
        </w:tc>
        <w:tc>
          <w:tcPr/>
          <w:p>
            <w:pPr>
              <w:pStyle w:val="Compact"/>
            </w:pPr>
            <w:r>
              <w:t xml:space="preserve">ScuBA (M365-EXO-005)</w:t>
            </w:r>
          </w:p>
        </w:tc>
        <w:tc>
          <w:tcPr/>
          <w:p>
            <w:pPr>
              <w:pStyle w:val="Compact"/>
            </w:pPr>
            <w:r>
              <w:t xml:space="preserve">satisfied</w:t>
            </w:r>
          </w:p>
        </w:tc>
      </w:tr>
      <w:tr>
        <w:tc>
          <w:tcPr/>
          <w:p>
            <w:pPr>
              <w:pStyle w:val="Compact"/>
            </w:pPr>
            <w:r>
              <w:t xml:space="preserve">KSI-006</w:t>
            </w:r>
          </w:p>
        </w:tc>
        <w:tc>
          <w:tcPr/>
          <w:p>
            <w:pPr>
              <w:pStyle w:val="Compact"/>
            </w:pPr>
            <w:r>
              <w:t xml:space="preserve">KSI-MLA</w:t>
            </w:r>
          </w:p>
        </w:tc>
        <w:tc>
          <w:tcPr/>
          <w:p>
            <w:pPr>
              <w:pStyle w:val="Compact"/>
            </w:pPr>
            <w:r>
              <w:t xml:space="preserve">ScuBA (M365-SPO-006)</w:t>
            </w:r>
          </w:p>
        </w:tc>
        <w:tc>
          <w:tcPr/>
          <w:p>
            <w:pPr>
              <w:pStyle w:val="Compact"/>
            </w:pPr>
            <w:r>
              <w:t xml:space="preserve">satisfied</w:t>
            </w:r>
          </w:p>
        </w:tc>
      </w:tr>
      <w:tr>
        <w:tc>
          <w:tcPr/>
          <w:p>
            <w:pPr>
              <w:pStyle w:val="Compact"/>
            </w:pPr>
            <w:r>
              <w:t xml:space="preserve">KSI-007</w:t>
            </w:r>
          </w:p>
        </w:tc>
        <w:tc>
          <w:tcPr/>
          <w:p>
            <w:pPr>
              <w:pStyle w:val="Compact"/>
            </w:pPr>
            <w:r>
              <w:t xml:space="preserve">KSI-SVC</w:t>
            </w:r>
          </w:p>
        </w:tc>
        <w:tc>
          <w:tcPr/>
          <w:p>
            <w:pPr>
              <w:pStyle w:val="Compact"/>
            </w:pPr>
            <w:r>
              <w:t xml:space="preserve">ScuBA (M365-ATP-007)</w:t>
            </w:r>
          </w:p>
        </w:tc>
        <w:tc>
          <w:tcPr/>
          <w:p>
            <w:pPr>
              <w:pStyle w:val="Compact"/>
            </w:pPr>
            <w:r>
              <w:t xml:space="preserve">satisfied</w:t>
            </w:r>
          </w:p>
        </w:tc>
      </w:tr>
      <w:tr>
        <w:tc>
          <w:tcPr/>
          <w:p>
            <w:pPr>
              <w:pStyle w:val="Compact"/>
            </w:pPr>
            <w:r>
              <w:t xml:space="preserve">KSI-008</w:t>
            </w:r>
          </w:p>
        </w:tc>
        <w:tc>
          <w:tcPr/>
          <w:p>
            <w:pPr>
              <w:pStyle w:val="Compact"/>
            </w:pPr>
            <w:r>
              <w:t xml:space="preserve">KSI-SVC</w:t>
            </w:r>
          </w:p>
        </w:tc>
        <w:tc>
          <w:tcPr/>
          <w:p>
            <w:pPr>
              <w:pStyle w:val="Compact"/>
            </w:pPr>
            <w:r>
              <w:t xml:space="preserve">ScuBA (M365-ATP-008)</w:t>
            </w:r>
          </w:p>
        </w:tc>
        <w:tc>
          <w:tcPr/>
          <w:p>
            <w:pPr>
              <w:pStyle w:val="Compact"/>
            </w:pPr>
            <w:r>
              <w:t xml:space="preserve">satisfied</w:t>
            </w:r>
          </w:p>
        </w:tc>
      </w:tr>
      <w:tr>
        <w:tc>
          <w:tcPr/>
          <w:p>
            <w:pPr>
              <w:pStyle w:val="Compact"/>
            </w:pPr>
            <w:r>
              <w:t xml:space="preserve">KSI-009</w:t>
            </w:r>
          </w:p>
        </w:tc>
        <w:tc>
          <w:tcPr/>
          <w:p>
            <w:pPr>
              <w:pStyle w:val="Compact"/>
            </w:pPr>
            <w:r>
              <w:t xml:space="preserve">KSI-IAM</w:t>
            </w:r>
          </w:p>
        </w:tc>
        <w:tc>
          <w:tcPr/>
          <w:p>
            <w:pPr>
              <w:pStyle w:val="Compact"/>
            </w:pPr>
            <w:r>
              <w:t xml:space="preserve">ScuBA (M365-CA-009)</w:t>
            </w:r>
          </w:p>
        </w:tc>
        <w:tc>
          <w:tcPr/>
          <w:p>
            <w:pPr>
              <w:pStyle w:val="Compact"/>
            </w:pPr>
            <w:r>
              <w:t xml:space="preserve">satisfied</w:t>
            </w:r>
          </w:p>
        </w:tc>
      </w:tr>
      <w:tr>
        <w:tc>
          <w:tcPr/>
          <w:p>
            <w:pPr>
              <w:pStyle w:val="Compact"/>
            </w:pPr>
            <w:r>
              <w:t xml:space="preserve">KSI-010</w:t>
            </w:r>
          </w:p>
        </w:tc>
        <w:tc>
          <w:tcPr/>
          <w:p>
            <w:pPr>
              <w:pStyle w:val="Compact"/>
            </w:pPr>
            <w:r>
              <w:t xml:space="preserve">KSI-MLA</w:t>
            </w:r>
          </w:p>
        </w:tc>
        <w:tc>
          <w:tcPr/>
          <w:p>
            <w:pPr>
              <w:pStyle w:val="Compact"/>
            </w:pPr>
            <w:r>
              <w:t xml:space="preserve">ScuBA (M365-DLP-010)</w:t>
            </w:r>
          </w:p>
        </w:tc>
        <w:tc>
          <w:tcPr/>
          <w:p>
            <w:pPr>
              <w:pStyle w:val="Compact"/>
            </w:pPr>
            <w:r>
              <w:t xml:space="preserve">satisfied</w:t>
            </w:r>
          </w:p>
        </w:tc>
      </w:tr>
      <w:tr>
        <w:tc>
          <w:tcPr/>
          <w:p>
            <w:pPr>
              <w:pStyle w:val="Compact"/>
            </w:pPr>
            <w:r>
              <w:t xml:space="preserve">KSI-011</w:t>
            </w:r>
          </w:p>
        </w:tc>
        <w:tc>
          <w:tcPr/>
          <w:p>
            <w:pPr>
              <w:pStyle w:val="Compact"/>
            </w:pPr>
            <w:r>
              <w:t xml:space="preserve">KSI-CMT</w:t>
            </w:r>
          </w:p>
        </w:tc>
        <w:tc>
          <w:tcPr/>
          <w:p>
            <w:pPr>
              <w:pStyle w:val="Compact"/>
            </w:pPr>
            <w:r>
              <w:t xml:space="preserve">slot-06 high (Vol IV Book 02–03)</w:t>
            </w:r>
          </w:p>
        </w:tc>
        <w:tc>
          <w:tcPr/>
          <w:p>
            <w:pPr>
              <w:pStyle w:val="Compact"/>
            </w:pPr>
            <w:r>
              <w:t xml:space="preserve">satisfied</w:t>
            </w:r>
          </w:p>
        </w:tc>
      </w:tr>
      <w:tr>
        <w:tc>
          <w:tcPr/>
          <w:p>
            <w:pPr>
              <w:pStyle w:val="Compact"/>
            </w:pPr>
            <w:r>
              <w:t xml:space="preserve">KSI-012</w:t>
            </w:r>
          </w:p>
        </w:tc>
        <w:tc>
          <w:tcPr/>
          <w:p>
            <w:pPr>
              <w:pStyle w:val="Compact"/>
            </w:pPr>
            <w:r>
              <w:t xml:space="preserve">KSI-CMT</w:t>
            </w:r>
          </w:p>
        </w:tc>
        <w:tc>
          <w:tcPr/>
          <w:p>
            <w:pPr>
              <w:pStyle w:val="Compact"/>
            </w:pPr>
            <w:r>
              <w:t xml:space="preserve">slot-06 high</w:t>
            </w:r>
          </w:p>
        </w:tc>
        <w:tc>
          <w:tcPr/>
          <w:p>
            <w:pPr>
              <w:pStyle w:val="Compact"/>
            </w:pPr>
            <w:r>
              <w:t xml:space="preserve">satisfied</w:t>
            </w:r>
          </w:p>
        </w:tc>
      </w:tr>
      <w:tr>
        <w:tc>
          <w:tcPr/>
          <w:p>
            <w:pPr>
              <w:pStyle w:val="Compact"/>
            </w:pPr>
            <w:r>
              <w:t xml:space="preserve">KSI-013</w:t>
            </w:r>
          </w:p>
        </w:tc>
        <w:tc>
          <w:tcPr/>
          <w:p>
            <w:pPr>
              <w:pStyle w:val="Compact"/>
            </w:pPr>
            <w:r>
              <w:t xml:space="preserve">KSI-CMT</w:t>
            </w:r>
          </w:p>
        </w:tc>
        <w:tc>
          <w:tcPr/>
          <w:p>
            <w:pPr>
              <w:pStyle w:val="Compact"/>
            </w:pPr>
            <w:r>
              <w:t xml:space="preserve">slot-06 high</w:t>
            </w:r>
          </w:p>
        </w:tc>
        <w:tc>
          <w:tcPr/>
          <w:p>
            <w:pPr>
              <w:pStyle w:val="Compact"/>
            </w:pPr>
            <w:r>
              <w:t xml:space="preserve">satisfied</w:t>
            </w:r>
          </w:p>
        </w:tc>
      </w:tr>
      <w:tr>
        <w:tc>
          <w:tcPr/>
          <w:p>
            <w:pPr>
              <w:pStyle w:val="Compact"/>
            </w:pPr>
            <w:r>
              <w:t xml:space="preserve">KSI-014</w:t>
            </w:r>
          </w:p>
        </w:tc>
        <w:tc>
          <w:tcPr/>
          <w:p>
            <w:pPr>
              <w:pStyle w:val="Compact"/>
            </w:pPr>
            <w:r>
              <w:t xml:space="preserve">KSI-CMT</w:t>
            </w:r>
          </w:p>
        </w:tc>
        <w:tc>
          <w:tcPr/>
          <w:p>
            <w:pPr>
              <w:pStyle w:val="Compact"/>
            </w:pPr>
            <w:r>
              <w:t xml:space="preserve">slot-06 high</w:t>
            </w:r>
          </w:p>
        </w:tc>
        <w:tc>
          <w:tcPr/>
          <w:p>
            <w:pPr>
              <w:pStyle w:val="Compact"/>
            </w:pPr>
            <w:r>
              <w:t xml:space="preserve">satisfied</w:t>
            </w:r>
          </w:p>
        </w:tc>
      </w:tr>
      <w:tr>
        <w:tc>
          <w:tcPr/>
          <w:p>
            <w:pPr>
              <w:pStyle w:val="Compact"/>
            </w:pPr>
            <w:r>
              <w:t xml:space="preserve">KSI-015</w:t>
            </w:r>
          </w:p>
        </w:tc>
        <w:tc>
          <w:tcPr/>
          <w:p>
            <w:pPr>
              <w:pStyle w:val="Compact"/>
            </w:pPr>
            <w:r>
              <w:t xml:space="preserve">KSI-SCR</w:t>
            </w:r>
          </w:p>
        </w:tc>
        <w:tc>
          <w:tcPr/>
          <w:p>
            <w:pPr>
              <w:pStyle w:val="Compact"/>
            </w:pPr>
            <w:r>
              <w:t xml:space="preserve">slot-06 high</w:t>
            </w:r>
          </w:p>
        </w:tc>
        <w:tc>
          <w:tcPr/>
          <w:p>
            <w:pPr>
              <w:pStyle w:val="Compact"/>
            </w:pPr>
            <w:r>
              <w:t xml:space="preserve">satisfied</w:t>
            </w:r>
          </w:p>
        </w:tc>
      </w:tr>
      <w:tr>
        <w:tc>
          <w:tcPr/>
          <w:p>
            <w:pPr>
              <w:pStyle w:val="Compact"/>
            </w:pPr>
            <w:r>
              <w:t xml:space="preserve">KSI-016</w:t>
            </w:r>
          </w:p>
        </w:tc>
        <w:tc>
          <w:tcPr/>
          <w:p>
            <w:pPr>
              <w:pStyle w:val="Compact"/>
            </w:pPr>
            <w:r>
              <w:t xml:space="preserve">KSI-SCR</w:t>
            </w:r>
          </w:p>
        </w:tc>
        <w:tc>
          <w:tcPr/>
          <w:p>
            <w:pPr>
              <w:pStyle w:val="Compact"/>
            </w:pPr>
            <w:r>
              <w:t xml:space="preserve">slot-06 high</w:t>
            </w:r>
          </w:p>
        </w:tc>
        <w:tc>
          <w:tcPr/>
          <w:p>
            <w:pPr>
              <w:pStyle w:val="Compact"/>
            </w:pPr>
            <w:r>
              <w:t xml:space="preserve">satisfied</w:t>
            </w:r>
          </w:p>
        </w:tc>
      </w:tr>
      <w:tr>
        <w:tc>
          <w:tcPr/>
          <w:p>
            <w:pPr>
              <w:pStyle w:val="Compact"/>
            </w:pPr>
            <w:r>
              <w:t xml:space="preserve">KSI-017</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KSI-018</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KSI-019</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KSI-020</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KSI-021</w:t>
            </w:r>
          </w:p>
        </w:tc>
        <w:tc>
          <w:tcPr/>
          <w:p>
            <w:pPr>
              <w:pStyle w:val="Compact"/>
            </w:pPr>
            <w:r>
              <w:t xml:space="preserve">KSI-PIY</w:t>
            </w:r>
          </w:p>
        </w:tc>
        <w:tc>
          <w:tcPr/>
          <w:p>
            <w:pPr>
              <w:pStyle w:val="Compact"/>
            </w:pPr>
            <w:r>
              <w:t xml:space="preserve">slot-05 high</w:t>
            </w:r>
          </w:p>
        </w:tc>
        <w:tc>
          <w:tcPr/>
          <w:p>
            <w:pPr>
              <w:pStyle w:val="Compact"/>
            </w:pPr>
            <w:r>
              <w:t xml:space="preserve">satisfied</w:t>
            </w:r>
          </w:p>
        </w:tc>
      </w:tr>
      <w:tr>
        <w:tc>
          <w:tcPr/>
          <w:p>
            <w:pPr>
              <w:pStyle w:val="Compact"/>
            </w:pPr>
            <w:r>
              <w:t xml:space="preserve">KSI-022</w:t>
            </w:r>
          </w:p>
        </w:tc>
        <w:tc>
          <w:tcPr/>
          <w:p>
            <w:pPr>
              <w:pStyle w:val="Compact"/>
            </w:pPr>
            <w:r>
              <w:t xml:space="preserve">KSI-CED</w:t>
            </w:r>
          </w:p>
        </w:tc>
        <w:tc>
          <w:tcPr/>
          <w:p>
            <w:pPr>
              <w:pStyle w:val="Compact"/>
            </w:pPr>
            <w:r>
              <w:t xml:space="preserve">slot-08 high (Vol IV Book 05)</w:t>
            </w:r>
          </w:p>
        </w:tc>
        <w:tc>
          <w:tcPr/>
          <w:p>
            <w:pPr>
              <w:pStyle w:val="Compact"/>
            </w:pPr>
            <w:r>
              <w:t xml:space="preserve">satisfied</w:t>
            </w:r>
          </w:p>
        </w:tc>
      </w:tr>
      <w:tr>
        <w:tc>
          <w:tcPr/>
          <w:p>
            <w:pPr>
              <w:pStyle w:val="Compact"/>
            </w:pPr>
            <w:r>
              <w:t xml:space="preserve">KSI-023</w:t>
            </w:r>
          </w:p>
        </w:tc>
        <w:tc>
          <w:tcPr/>
          <w:p>
            <w:pPr>
              <w:pStyle w:val="Compact"/>
            </w:pPr>
            <w:r>
              <w:t xml:space="preserve">KSI-INR</w:t>
            </w:r>
          </w:p>
        </w:tc>
        <w:tc>
          <w:tcPr/>
          <w:p>
            <w:pPr>
              <w:pStyle w:val="Compact"/>
            </w:pPr>
            <w:r>
              <w:t xml:space="preserve">slot-07 high</w:t>
            </w:r>
          </w:p>
        </w:tc>
        <w:tc>
          <w:tcPr/>
          <w:p>
            <w:pPr>
              <w:pStyle w:val="Compact"/>
            </w:pPr>
            <w:r>
              <w:t xml:space="preserve">satisfied</w:t>
            </w:r>
          </w:p>
        </w:tc>
      </w:tr>
      <w:tr>
        <w:tc>
          <w:tcPr/>
          <w:p>
            <w:pPr>
              <w:pStyle w:val="Compact"/>
            </w:pPr>
            <w:r>
              <w:t xml:space="preserve">KSI-024</w:t>
            </w:r>
          </w:p>
        </w:tc>
        <w:tc>
          <w:tcPr/>
          <w:p>
            <w:pPr>
              <w:pStyle w:val="Compact"/>
            </w:pPr>
            <w:r>
              <w:t xml:space="preserve">KSI-INR</w:t>
            </w:r>
          </w:p>
        </w:tc>
        <w:tc>
          <w:tcPr/>
          <w:p>
            <w:pPr>
              <w:pStyle w:val="Compact"/>
            </w:pPr>
            <w:r>
              <w:t xml:space="preserve">slot-04 high</w:t>
            </w:r>
          </w:p>
        </w:tc>
        <w:tc>
          <w:tcPr/>
          <w:p>
            <w:pPr>
              <w:pStyle w:val="Compact"/>
            </w:pPr>
            <w:r>
              <w:t xml:space="preserve">satisfied</w:t>
            </w:r>
          </w:p>
        </w:tc>
      </w:tr>
      <w:tr>
        <w:tc>
          <w:tcPr/>
          <w:p>
            <w:pPr>
              <w:pStyle w:val="Compact"/>
            </w:pPr>
            <w:r>
              <w:t xml:space="preserve">KSI-025</w:t>
            </w:r>
          </w:p>
        </w:tc>
        <w:tc>
          <w:tcPr/>
          <w:p>
            <w:pPr>
              <w:pStyle w:val="Compact"/>
            </w:pPr>
            <w:r>
              <w:t xml:space="preserve">KSI-INR</w:t>
            </w:r>
          </w:p>
        </w:tc>
        <w:tc>
          <w:tcPr/>
          <w:p>
            <w:pPr>
              <w:pStyle w:val="Compact"/>
            </w:pPr>
            <w:r>
              <w:t xml:space="preserve">slot-04 high</w:t>
            </w:r>
          </w:p>
        </w:tc>
        <w:tc>
          <w:tcPr/>
          <w:p>
            <w:pPr>
              <w:pStyle w:val="Compact"/>
            </w:pPr>
            <w:r>
              <w:t xml:space="preserve">satisfied</w:t>
            </w:r>
          </w:p>
        </w:tc>
      </w:tr>
      <w:tr>
        <w:tc>
          <w:tcPr/>
          <w:p>
            <w:pPr>
              <w:pStyle w:val="Compact"/>
            </w:pPr>
            <w:r>
              <w:t xml:space="preserve">KSI-026</w:t>
            </w:r>
          </w:p>
        </w:tc>
        <w:tc>
          <w:tcPr/>
          <w:p>
            <w:pPr>
              <w:pStyle w:val="Compact"/>
            </w:pPr>
            <w:r>
              <w:t xml:space="preserve">KSI-RPL</w:t>
            </w:r>
          </w:p>
        </w:tc>
        <w:tc>
          <w:tcPr/>
          <w:p>
            <w:pPr>
              <w:pStyle w:val="Compact"/>
            </w:pPr>
            <w:r>
              <w:t xml:space="preserve">slot-07 high</w:t>
            </w:r>
          </w:p>
        </w:tc>
        <w:tc>
          <w:tcPr/>
          <w:p>
            <w:pPr>
              <w:pStyle w:val="Compact"/>
            </w:pPr>
            <w:r>
              <w:t xml:space="preserve">satisfied</w:t>
            </w:r>
          </w:p>
        </w:tc>
      </w:tr>
      <w:tr>
        <w:tc>
          <w:tcPr/>
          <w:p>
            <w:pPr>
              <w:pStyle w:val="Compact"/>
            </w:pPr>
            <w:r>
              <w:t xml:space="preserve">KSI-027</w:t>
            </w:r>
          </w:p>
        </w:tc>
        <w:tc>
          <w:tcPr/>
          <w:p>
            <w:pPr>
              <w:pStyle w:val="Compact"/>
            </w:pPr>
            <w:r>
              <w:t xml:space="preserve">KSI-RPL</w:t>
            </w:r>
          </w:p>
        </w:tc>
        <w:tc>
          <w:tcPr/>
          <w:p>
            <w:pPr>
              <w:pStyle w:val="Compact"/>
            </w:pPr>
            <w:r>
              <w:t xml:space="preserve">slot-07 high</w:t>
            </w:r>
          </w:p>
        </w:tc>
        <w:tc>
          <w:tcPr/>
          <w:p>
            <w:pPr>
              <w:pStyle w:val="Compact"/>
            </w:pPr>
            <w:r>
              <w:t xml:space="preserve">satisfied</w:t>
            </w:r>
          </w:p>
        </w:tc>
      </w:tr>
      <w:tr>
        <w:tc>
          <w:tcPr/>
          <w:p>
            <w:pPr>
              <w:pStyle w:val="Compact"/>
            </w:pPr>
            <w:r>
              <w:t xml:space="preserve">KSI-028</w:t>
            </w:r>
          </w:p>
        </w:tc>
        <w:tc>
          <w:tcPr/>
          <w:p>
            <w:pPr>
              <w:pStyle w:val="Compact"/>
            </w:pPr>
            <w:r>
              <w:t xml:space="preserve">KSI-RPL</w:t>
            </w:r>
          </w:p>
        </w:tc>
        <w:tc>
          <w:tcPr/>
          <w:p>
            <w:pPr>
              <w:pStyle w:val="Compact"/>
            </w:pPr>
            <w:r>
              <w:t xml:space="preserve">slot-07 high</w:t>
            </w:r>
          </w:p>
        </w:tc>
        <w:tc>
          <w:tcPr/>
          <w:p>
            <w:pPr>
              <w:pStyle w:val="Compact"/>
            </w:pPr>
            <w:r>
              <w:t xml:space="preserve">satisfied</w:t>
            </w:r>
          </w:p>
        </w:tc>
      </w:tr>
      <w:tr>
        <w:tc>
          <w:tcPr/>
          <w:p>
            <w:pPr>
              <w:pStyle w:val="Compact"/>
            </w:pPr>
            <w:r>
              <w:t xml:space="preserve">KSI-029</w:t>
            </w:r>
          </w:p>
        </w:tc>
        <w:tc>
          <w:tcPr/>
          <w:p>
            <w:pPr>
              <w:pStyle w:val="Compact"/>
            </w:pPr>
            <w:r>
              <w:t xml:space="preserve">KSI-RPL</w:t>
            </w:r>
          </w:p>
        </w:tc>
        <w:tc>
          <w:tcPr/>
          <w:p>
            <w:pPr>
              <w:pStyle w:val="Compact"/>
            </w:pPr>
            <w:r>
              <w:t xml:space="preserve">slot-07 high</w:t>
            </w:r>
          </w:p>
        </w:tc>
        <w:tc>
          <w:tcPr/>
          <w:p>
            <w:pPr>
              <w:pStyle w:val="Compact"/>
            </w:pPr>
            <w:r>
              <w:t xml:space="preserve">satisfied</w:t>
            </w:r>
          </w:p>
        </w:tc>
      </w:tr>
    </w:tbl>
    <w:p>
      <w:r>
        <w:pict>
          <v:rect style="width:0;height:1.5pt" o:hralign="center" o:hrstd="t" o:hr="t"/>
        </w:pict>
      </w:r>
    </w:p>
    <w:p>
      <w:pPr>
        <w:pStyle w:val="FirstParagraph"/>
      </w:pPr>
      <w:r>
        <w:rPr>
          <w:i/>
          <w:iCs/>
        </w:rPr>
        <w:t xml:space="preserve">This document is an internal working artifact. It does not constitute an</w:t>
      </w:r>
      <w:r>
        <w:rPr>
          <w:i/>
          <w:iCs/>
        </w:rPr>
        <w:t xml:space="preserve"> </w:t>
      </w:r>
      <w:r>
        <w:rPr>
          <w:i/>
          <w:iCs/>
        </w:rPr>
        <w:t xml:space="preserve">authorization package or official assessment. All control closure claims are</w:t>
      </w:r>
      <w:r>
        <w:rPr>
          <w:i/>
          <w:iCs/>
        </w:rPr>
        <w:t xml:space="preserve"> </w:t>
      </w:r>
      <w:r>
        <w:rPr>
          <w:i/>
          <w:iCs/>
        </w:rPr>
        <w:t xml:space="preserve">advisory pending formal ATO review by the Agency Authorizing Official and the</w:t>
      </w:r>
      <w:r>
        <w:rPr>
          <w:i/>
          <w:iCs/>
        </w:rPr>
        <w:t xml:space="preserve"> </w:t>
      </w:r>
      <w:r>
        <w:rPr>
          <w:i/>
          <w:iCs/>
        </w:rPr>
        <w:t xml:space="preserve">Office of Information Security — Agency is a consuming agency, so nothing here is</w:t>
      </w:r>
      <w:r>
        <w:rPr>
          <w:i/>
          <w:iCs/>
        </w:rPr>
        <w:t xml:space="preserve"> </w:t>
      </w:r>
      <w:r>
        <w:rPr>
          <w:i/>
          <w:iCs/>
        </w:rPr>
        <w:t xml:space="preserve">submitted to the FedRAMP PMO.</w:t>
      </w:r>
    </w:p>
    <w:bookmarkEnd w:id="26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2"/>
  </w:num>
  <w:num w:numId="1032">
    <w:abstractNumId w:val="992"/>
  </w:num>
  <w:num w:numId="1033">
    <w:abstractNumId w:val="992"/>
  </w:num>
  <w:num w:numId="1034">
    <w:abstractNumId w:val="992"/>
  </w:num>
  <w:num w:numId="1035">
    <w:abstractNumId w:val="992"/>
  </w:num>
  <w:num w:numId="1036">
    <w:abstractNumId w:val="992"/>
  </w:num>
  <w:num w:numId="1037">
    <w:abstractNumId w:val="992"/>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2"/>
  </w:num>
  <w:num w:numId="1053">
    <w:abstractNumId w:val="992"/>
  </w:num>
  <w:num w:numId="1054">
    <w:abstractNumId w:val="992"/>
  </w:num>
  <w:num w:numId="1055">
    <w:abstractNumId w:val="992"/>
  </w:num>
  <w:num w:numId="1056">
    <w:abstractNumId w:val="992"/>
  </w:num>
  <w:num w:numId="1057">
    <w:abstractNumId w:val="992"/>
  </w:num>
  <w:num w:numId="1058">
    <w:abstractNumId w:val="992"/>
  </w:num>
  <w:num w:numId="1059">
    <w:abstractNumId w:val="992"/>
  </w:num>
  <w:num w:numId="1060">
    <w:abstractNumId w:val="992"/>
  </w:num>
  <w:num w:numId="1061">
    <w:abstractNumId w:val="992"/>
  </w:num>
  <w:num w:numId="1062">
    <w:abstractNumId w:val="992"/>
  </w:num>
  <w:num w:numId="1063">
    <w:abstractNumId w:val="992"/>
  </w:num>
  <w:num w:numId="1064">
    <w:abstractNumId w:val="992"/>
  </w:num>
  <w:num w:numId="1065">
    <w:abstractNumId w:val="992"/>
  </w:num>
  <w:num w:numId="1066">
    <w:abstractNumId w:val="992"/>
  </w:num>
  <w:num w:numId="1067">
    <w:abstractNumId w:val="992"/>
  </w:num>
  <w:num w:numId="1068">
    <w:abstractNumId w:val="992"/>
  </w:num>
  <w:num w:numId="1069">
    <w:abstractNumId w:val="992"/>
  </w:num>
  <w:num w:numId="1070">
    <w:abstractNumId w:val="992"/>
  </w:num>
  <w:num w:numId="1071">
    <w:abstractNumId w:val="992"/>
  </w:num>
  <w:num w:numId="1072">
    <w:abstractNumId w:val="992"/>
  </w:num>
  <w:num w:numId="1073">
    <w:abstractNumId w:val="992"/>
  </w:num>
  <w:num w:numId="1074">
    <w:abstractNumId w:val="992"/>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2"/>
  </w:num>
  <w:num w:numId="1080">
    <w:abstractNumId w:val="992"/>
  </w:num>
  <w:num w:numId="1081">
    <w:abstractNumId w:val="992"/>
  </w:num>
  <w:num w:numId="1082">
    <w:abstractNumId w:val="992"/>
  </w:num>
  <w:num w:numId="1083">
    <w:abstractNumId w:val="992"/>
  </w:num>
  <w:num w:numId="1084">
    <w:abstractNumId w:val="992"/>
  </w:num>
  <w:num w:numId="1085">
    <w:abstractNumId w:val="992"/>
  </w:num>
  <w:num w:numId="1086">
    <w:abstractNumId w:val="992"/>
  </w:num>
  <w:num w:numId="1087">
    <w:abstractNumId w:val="992"/>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2"/>
  </w:num>
  <w:num w:numId="1092">
    <w:abstractNumId w:val="992"/>
  </w:num>
  <w:num w:numId="1093">
    <w:abstractNumId w:val="992"/>
  </w:num>
  <w:num w:numId="1094">
    <w:abstractNumId w:val="992"/>
  </w:num>
  <w:num w:numId="1095">
    <w:abstractNumId w:val="992"/>
  </w:num>
  <w:num w:numId="1096">
    <w:abstractNumId w:val="992"/>
  </w:num>
  <w:num w:numId="1097">
    <w:abstractNumId w:val="992"/>
  </w:num>
  <w:num w:numId="1098">
    <w:abstractNumId w:val="992"/>
  </w:num>
  <w:num w:numId="1099">
    <w:abstractNumId w:val="992"/>
  </w:num>
  <w:num w:numId="1100">
    <w:abstractNumId w:val="992"/>
  </w:num>
  <w:num w:numId="1101">
    <w:abstractNumId w:val="992"/>
  </w:num>
  <w:num w:numId="1102">
    <w:abstractNumId w:val="992"/>
  </w:num>
  <w:num w:numId="1103">
    <w:abstractNumId w:val="992"/>
  </w:num>
  <w:num w:numId="1104">
    <w:abstractNumId w:val="992"/>
  </w:num>
  <w:num w:numId="1105">
    <w:abstractNumId w:val="992"/>
  </w:num>
  <w:num w:numId="1106">
    <w:abstractNumId w:val="992"/>
  </w:num>
  <w:num w:numId="1107">
    <w:abstractNumId w:val="992"/>
  </w:num>
  <w:num w:numId="1108">
    <w:abstractNumId w:val="992"/>
  </w:num>
  <w:num w:numId="1109">
    <w:abstractNumId w:val="992"/>
  </w:num>
  <w:num w:numId="1110">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IV — Governance &amp; Assurance</dc:title>
  <dc:creator/>
  <cp:keywords/>
  <dcterms:created xsi:type="dcterms:W3CDTF">2026-10-19T10:17:42Z</dcterms:created>
  <dcterms:modified xsi:type="dcterms:W3CDTF">2026-10-19T10:17:42Z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Federal Compliance Series</vt:lpwstr>
  </property>
</Properties>
</file>